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693F" w:rsidRPr="00DC501C" w:rsidRDefault="0074693F" w:rsidP="00DC501C">
      <w:pPr>
        <w:rPr>
          <w:rFonts w:cs="Arial"/>
        </w:rPr>
      </w:pPr>
    </w:p>
    <w:p w:rsidR="00DC501C" w:rsidRPr="00DC501C" w:rsidRDefault="00DC501C" w:rsidP="00FC4873">
      <w:pPr>
        <w:ind w:right="-720"/>
        <w:jc w:val="center"/>
        <w:rPr>
          <w:rFonts w:cs="Arial"/>
          <w:b/>
          <w:sz w:val="28"/>
          <w:szCs w:val="28"/>
        </w:rPr>
      </w:pPr>
      <w:r w:rsidRPr="00DC501C">
        <w:rPr>
          <w:rFonts w:cs="Arial"/>
          <w:b/>
          <w:sz w:val="28"/>
          <w:szCs w:val="28"/>
        </w:rPr>
        <w:t>DISCOUNT STATISTICS OF CLOSED-END FUNDS</w:t>
      </w:r>
    </w:p>
    <w:p w:rsidR="00DC501C" w:rsidRPr="00DC501C" w:rsidRDefault="00DC501C" w:rsidP="00FC4873">
      <w:pPr>
        <w:ind w:right="-720"/>
        <w:jc w:val="center"/>
        <w:rPr>
          <w:rFonts w:cs="Arial"/>
          <w:b/>
          <w:sz w:val="28"/>
          <w:szCs w:val="28"/>
        </w:rPr>
      </w:pPr>
      <w:r w:rsidRPr="00DC501C">
        <w:rPr>
          <w:rFonts w:cs="Arial"/>
          <w:b/>
          <w:sz w:val="28"/>
          <w:szCs w:val="28"/>
        </w:rPr>
        <w:t xml:space="preserve">UPDATE FOR THE </w:t>
      </w:r>
      <w:r w:rsidR="001D3E7E">
        <w:rPr>
          <w:rFonts w:cs="Arial"/>
          <w:b/>
          <w:sz w:val="28"/>
          <w:szCs w:val="28"/>
        </w:rPr>
        <w:t>1</w:t>
      </w:r>
      <w:r w:rsidR="001D3E7E" w:rsidRPr="001D3E7E">
        <w:rPr>
          <w:rFonts w:cs="Arial"/>
          <w:b/>
          <w:sz w:val="28"/>
          <w:szCs w:val="28"/>
          <w:vertAlign w:val="superscript"/>
        </w:rPr>
        <w:t>st</w:t>
      </w:r>
      <w:r w:rsidR="001D3E7E">
        <w:rPr>
          <w:rFonts w:cs="Arial"/>
          <w:b/>
          <w:sz w:val="28"/>
          <w:szCs w:val="28"/>
        </w:rPr>
        <w:t xml:space="preserve"> </w:t>
      </w:r>
      <w:r w:rsidR="006C671A">
        <w:rPr>
          <w:rFonts w:cs="Arial"/>
          <w:b/>
          <w:sz w:val="28"/>
          <w:szCs w:val="28"/>
        </w:rPr>
        <w:t>Q</w:t>
      </w:r>
      <w:r w:rsidR="001D3E7E">
        <w:rPr>
          <w:rFonts w:cs="Arial"/>
          <w:b/>
          <w:sz w:val="28"/>
          <w:szCs w:val="28"/>
        </w:rPr>
        <w:t>UARTER 2016</w:t>
      </w:r>
    </w:p>
    <w:p w:rsidR="00DC501C" w:rsidRPr="00DC501C" w:rsidRDefault="00DC501C" w:rsidP="00DC501C">
      <w:pPr>
        <w:rPr>
          <w:rFonts w:cs="Arial"/>
          <w:sz w:val="24"/>
          <w:szCs w:val="24"/>
        </w:rPr>
      </w:pPr>
    </w:p>
    <w:p w:rsidR="00DC501C" w:rsidRPr="00DC501C" w:rsidRDefault="00DC501C" w:rsidP="00FC4873">
      <w:pPr>
        <w:ind w:right="-720"/>
        <w:rPr>
          <w:rFonts w:cs="Arial"/>
          <w:sz w:val="24"/>
          <w:szCs w:val="24"/>
        </w:rPr>
      </w:pPr>
      <w:r w:rsidRPr="00DC501C">
        <w:rPr>
          <w:rFonts w:cs="Arial"/>
          <w:sz w:val="24"/>
          <w:szCs w:val="24"/>
        </w:rPr>
        <w:tab/>
        <w:t>This article will update the Highland Global study, “Discount Statistics of Closed-end Funds,” (originally published in November 2005 and updated quar</w:t>
      </w:r>
      <w:r w:rsidR="00756F83">
        <w:rPr>
          <w:rFonts w:cs="Arial"/>
          <w:sz w:val="24"/>
          <w:szCs w:val="24"/>
        </w:rPr>
        <w:t xml:space="preserve">terly) for data relating to the </w:t>
      </w:r>
      <w:r w:rsidR="001D3E7E">
        <w:rPr>
          <w:rFonts w:cs="Arial"/>
          <w:sz w:val="24"/>
          <w:szCs w:val="24"/>
        </w:rPr>
        <w:t>first</w:t>
      </w:r>
      <w:r w:rsidRPr="00DC501C">
        <w:rPr>
          <w:rFonts w:cs="Arial"/>
          <w:sz w:val="24"/>
          <w:szCs w:val="24"/>
        </w:rPr>
        <w:t xml:space="preserve"> quarter of 20</w:t>
      </w:r>
      <w:r w:rsidR="000F79C6">
        <w:rPr>
          <w:rFonts w:cs="Arial"/>
          <w:sz w:val="24"/>
          <w:szCs w:val="24"/>
        </w:rPr>
        <w:t>1</w:t>
      </w:r>
      <w:r w:rsidR="001D3E7E">
        <w:rPr>
          <w:rFonts w:cs="Arial"/>
          <w:sz w:val="24"/>
          <w:szCs w:val="24"/>
        </w:rPr>
        <w:t>6</w:t>
      </w:r>
      <w:r w:rsidRPr="00DC501C">
        <w:rPr>
          <w:rFonts w:cs="Arial"/>
          <w:sz w:val="24"/>
          <w:szCs w:val="24"/>
        </w:rPr>
        <w:t xml:space="preserve">.  The original article with more details regarding discount statistics of closed-end funds is available at </w:t>
      </w:r>
      <w:hyperlink r:id="rId7" w:history="1">
        <w:r w:rsidRPr="00DC501C">
          <w:rPr>
            <w:rStyle w:val="Hyperlink"/>
            <w:rFonts w:cs="Arial"/>
            <w:sz w:val="24"/>
            <w:szCs w:val="24"/>
          </w:rPr>
          <w:t>www.HighlandGlobal.com</w:t>
        </w:r>
      </w:hyperlink>
      <w:r w:rsidR="00323C3B">
        <w:rPr>
          <w:rFonts w:cs="Arial"/>
          <w:sz w:val="24"/>
          <w:szCs w:val="24"/>
        </w:rPr>
        <w:t xml:space="preserve">.  </w:t>
      </w:r>
      <w:r w:rsidR="00EE40A6">
        <w:rPr>
          <w:rFonts w:cs="Arial"/>
          <w:sz w:val="24"/>
          <w:szCs w:val="24"/>
        </w:rPr>
        <w:t>Historic releases of our research can be accessed from our website.</w:t>
      </w:r>
      <w:r w:rsidRPr="00DC501C">
        <w:rPr>
          <w:rFonts w:cs="Arial"/>
          <w:sz w:val="24"/>
          <w:szCs w:val="24"/>
        </w:rPr>
        <w:t xml:space="preserve"> </w:t>
      </w:r>
    </w:p>
    <w:p w:rsidR="00DC501C" w:rsidRPr="00DC501C" w:rsidRDefault="00DC501C" w:rsidP="00FC4873">
      <w:pPr>
        <w:ind w:right="-720"/>
        <w:rPr>
          <w:rFonts w:cs="Arial"/>
          <w:sz w:val="24"/>
          <w:szCs w:val="24"/>
        </w:rPr>
      </w:pPr>
    </w:p>
    <w:p w:rsidR="00EE40A6" w:rsidRPr="00DC501C" w:rsidRDefault="00DC501C" w:rsidP="00FC4873">
      <w:pPr>
        <w:ind w:right="-720"/>
        <w:rPr>
          <w:rFonts w:cs="Arial"/>
          <w:sz w:val="24"/>
          <w:szCs w:val="24"/>
        </w:rPr>
      </w:pPr>
      <w:r w:rsidRPr="00DC501C">
        <w:rPr>
          <w:rFonts w:cs="Arial"/>
          <w:sz w:val="24"/>
          <w:szCs w:val="24"/>
        </w:rPr>
        <w:tab/>
      </w:r>
      <w:r w:rsidR="00EE40A6" w:rsidRPr="006663C6">
        <w:rPr>
          <w:sz w:val="24"/>
          <w:szCs w:val="24"/>
        </w:rPr>
        <w:t xml:space="preserve">All facts and data as set forth in this report were obtained from sources considered to be reliable. However, </w:t>
      </w:r>
      <w:r w:rsidR="00EE40A6">
        <w:rPr>
          <w:sz w:val="24"/>
          <w:szCs w:val="24"/>
        </w:rPr>
        <w:t xml:space="preserve">Highland Global </w:t>
      </w:r>
      <w:r w:rsidR="00EE40A6" w:rsidRPr="006663C6">
        <w:rPr>
          <w:sz w:val="24"/>
          <w:szCs w:val="24"/>
        </w:rPr>
        <w:t>assumes no liability for the accuracy of the information provided to us by others.</w:t>
      </w:r>
      <w:r w:rsidR="00EE40A6">
        <w:rPr>
          <w:sz w:val="24"/>
          <w:szCs w:val="24"/>
        </w:rPr>
        <w:t xml:space="preserve">  Highland Global a</w:t>
      </w:r>
      <w:r w:rsidR="00EE40A6" w:rsidRPr="006663C6">
        <w:rPr>
          <w:sz w:val="24"/>
          <w:szCs w:val="24"/>
        </w:rPr>
        <w:t xml:space="preserve">ssumes no responsibility for any liability for damages of any kind resulting from reliance on this report by the </w:t>
      </w:r>
      <w:r w:rsidR="00EE40A6">
        <w:rPr>
          <w:sz w:val="24"/>
          <w:szCs w:val="24"/>
        </w:rPr>
        <w:t>reader</w:t>
      </w:r>
      <w:r w:rsidR="00EE40A6" w:rsidRPr="006663C6">
        <w:rPr>
          <w:sz w:val="24"/>
          <w:szCs w:val="24"/>
        </w:rPr>
        <w:t xml:space="preserve"> or any other party.</w:t>
      </w:r>
      <w:r w:rsidR="00EE40A6">
        <w:rPr>
          <w:sz w:val="24"/>
          <w:szCs w:val="24"/>
        </w:rPr>
        <w:t xml:space="preserve">  </w:t>
      </w:r>
      <w:r w:rsidR="00EE40A6" w:rsidRPr="008C68A9">
        <w:rPr>
          <w:sz w:val="24"/>
          <w:szCs w:val="24"/>
        </w:rPr>
        <w:t xml:space="preserve">Although </w:t>
      </w:r>
      <w:r w:rsidR="00EE40A6" w:rsidRPr="003D68E6">
        <w:rPr>
          <w:rStyle w:val="RWCommand"/>
        </w:rPr>
        <w:t>«</w:t>
      </w:r>
      <w:r w:rsidR="00EE40A6" w:rsidRPr="003D68E6">
        <w:rPr>
          <w:vanish/>
          <w:sz w:val="24"/>
          <w:szCs w:val="24"/>
        </w:rPr>
        <w:t>Cell│[1]ReportWriter!b16│0││</w:t>
      </w:r>
      <w:r w:rsidR="00EE40A6" w:rsidRPr="003D68E6">
        <w:rPr>
          <w:sz w:val="24"/>
          <w:szCs w:val="24"/>
        </w:rPr>
        <w:t>we</w:t>
      </w:r>
      <w:r w:rsidR="00EE40A6" w:rsidRPr="003D68E6">
        <w:rPr>
          <w:rStyle w:val="RWCommand"/>
        </w:rPr>
        <w:t>»</w:t>
      </w:r>
      <w:r w:rsidR="00EE40A6" w:rsidRPr="008C68A9">
        <w:rPr>
          <w:sz w:val="24"/>
          <w:szCs w:val="24"/>
        </w:rPr>
        <w:t xml:space="preserve"> have exerted considerable diligence and applied </w:t>
      </w:r>
      <w:r w:rsidR="00EE40A6" w:rsidRPr="003D68E6">
        <w:rPr>
          <w:rStyle w:val="RWCommand"/>
        </w:rPr>
        <w:t>«</w:t>
      </w:r>
      <w:r w:rsidR="00EE40A6" w:rsidRPr="003D68E6">
        <w:rPr>
          <w:vanish/>
          <w:sz w:val="24"/>
          <w:szCs w:val="24"/>
        </w:rPr>
        <w:t>Cell│[1]ReportWriter!b19│0││</w:t>
      </w:r>
      <w:r w:rsidR="00EE40A6" w:rsidRPr="003D68E6">
        <w:rPr>
          <w:sz w:val="24"/>
          <w:szCs w:val="24"/>
        </w:rPr>
        <w:t>our</w:t>
      </w:r>
      <w:r w:rsidR="00EE40A6" w:rsidRPr="003D68E6">
        <w:rPr>
          <w:rStyle w:val="RWCommand"/>
        </w:rPr>
        <w:t>»</w:t>
      </w:r>
      <w:r w:rsidR="00EE40A6" w:rsidRPr="008C68A9">
        <w:rPr>
          <w:sz w:val="24"/>
          <w:szCs w:val="24"/>
        </w:rPr>
        <w:t xml:space="preserve"> best efforts in constructing this document, immaterial anomalies, if any, may arise. Even so, </w:t>
      </w:r>
      <w:r w:rsidR="00EE40A6" w:rsidRPr="003D68E6">
        <w:rPr>
          <w:rStyle w:val="RWCommand"/>
        </w:rPr>
        <w:t>«</w:t>
      </w:r>
      <w:r w:rsidR="00EE40A6" w:rsidRPr="003D68E6">
        <w:rPr>
          <w:vanish/>
          <w:sz w:val="24"/>
          <w:szCs w:val="24"/>
        </w:rPr>
        <w:t>Cell│[1]ReportWriter!b16│0││</w:t>
      </w:r>
      <w:r w:rsidR="00EE40A6" w:rsidRPr="003D68E6">
        <w:rPr>
          <w:sz w:val="24"/>
          <w:szCs w:val="24"/>
        </w:rPr>
        <w:t>we</w:t>
      </w:r>
      <w:r w:rsidR="00EE40A6" w:rsidRPr="003D68E6">
        <w:rPr>
          <w:rStyle w:val="RWCommand"/>
        </w:rPr>
        <w:t>»</w:t>
      </w:r>
      <w:r w:rsidR="00EE40A6" w:rsidRPr="008C68A9">
        <w:rPr>
          <w:sz w:val="24"/>
          <w:szCs w:val="24"/>
        </w:rPr>
        <w:t xml:space="preserve"> are confident that </w:t>
      </w:r>
      <w:r w:rsidR="00EE40A6" w:rsidRPr="003D68E6">
        <w:rPr>
          <w:rStyle w:val="RWCommand"/>
        </w:rPr>
        <w:t>«</w:t>
      </w:r>
      <w:r w:rsidR="00EE40A6" w:rsidRPr="003D68E6">
        <w:rPr>
          <w:vanish/>
          <w:sz w:val="24"/>
          <w:szCs w:val="24"/>
        </w:rPr>
        <w:t>Cell│[1]ReportWriter!b19│0││</w:t>
      </w:r>
      <w:r w:rsidR="00EE40A6" w:rsidRPr="003D68E6">
        <w:rPr>
          <w:sz w:val="24"/>
          <w:szCs w:val="24"/>
        </w:rPr>
        <w:t>our</w:t>
      </w:r>
      <w:r w:rsidR="00EE40A6" w:rsidRPr="003D68E6">
        <w:rPr>
          <w:rStyle w:val="RWCommand"/>
        </w:rPr>
        <w:t>»</w:t>
      </w:r>
      <w:r w:rsidR="00EE40A6" w:rsidRPr="008C68A9">
        <w:rPr>
          <w:sz w:val="24"/>
          <w:szCs w:val="24"/>
        </w:rPr>
        <w:t xml:space="preserve"> overall </w:t>
      </w:r>
      <w:r w:rsidR="00B441D5">
        <w:rPr>
          <w:sz w:val="24"/>
          <w:szCs w:val="24"/>
        </w:rPr>
        <w:t xml:space="preserve">results </w:t>
      </w:r>
      <w:r w:rsidR="00EE40A6" w:rsidRPr="008C68A9">
        <w:rPr>
          <w:sz w:val="24"/>
          <w:szCs w:val="24"/>
        </w:rPr>
        <w:t>would still fall within a materially consistent conclusion.</w:t>
      </w:r>
      <w:r w:rsidR="00EE40A6">
        <w:rPr>
          <w:sz w:val="24"/>
          <w:szCs w:val="24"/>
        </w:rPr>
        <w:t xml:space="preserve">  </w:t>
      </w:r>
      <w:r w:rsidR="00EE40A6" w:rsidRPr="00382508">
        <w:rPr>
          <w:sz w:val="24"/>
          <w:szCs w:val="24"/>
        </w:rPr>
        <w:t>This report is not to be construed, directly or indirectly, as a recommendation to invest, divest</w:t>
      </w:r>
      <w:r w:rsidR="00EE40A6">
        <w:rPr>
          <w:sz w:val="24"/>
          <w:szCs w:val="24"/>
        </w:rPr>
        <w:t xml:space="preserve"> or</w:t>
      </w:r>
      <w:r w:rsidR="00EE40A6" w:rsidRPr="00382508">
        <w:rPr>
          <w:sz w:val="24"/>
          <w:szCs w:val="24"/>
        </w:rPr>
        <w:t xml:space="preserve"> to lend.</w:t>
      </w:r>
      <w:r w:rsidR="00EE40A6">
        <w:rPr>
          <w:sz w:val="24"/>
          <w:szCs w:val="24"/>
        </w:rPr>
        <w:t xml:space="preserve">  Highland Global </w:t>
      </w:r>
      <w:r w:rsidR="00EE40A6" w:rsidRPr="006663C6">
        <w:rPr>
          <w:sz w:val="24"/>
          <w:szCs w:val="24"/>
        </w:rPr>
        <w:t xml:space="preserve">makes no representations or warranties that the </w:t>
      </w:r>
      <w:r w:rsidR="00E92922">
        <w:rPr>
          <w:sz w:val="24"/>
          <w:szCs w:val="24"/>
        </w:rPr>
        <w:t>result/research</w:t>
      </w:r>
      <w:r w:rsidR="00EE40A6" w:rsidRPr="006663C6">
        <w:rPr>
          <w:sz w:val="24"/>
          <w:szCs w:val="24"/>
        </w:rPr>
        <w:t xml:space="preserve"> set forth in this report will be accepted by any other third party, including any regulatory or government body federal, state, or local.</w:t>
      </w:r>
    </w:p>
    <w:p w:rsidR="00DC501C" w:rsidRPr="00DC501C" w:rsidRDefault="00DC501C" w:rsidP="00FC4873">
      <w:pPr>
        <w:ind w:right="-720" w:firstLine="720"/>
        <w:rPr>
          <w:rFonts w:cs="Arial"/>
          <w:sz w:val="24"/>
          <w:szCs w:val="24"/>
        </w:rPr>
      </w:pPr>
    </w:p>
    <w:p w:rsidR="00DC501C" w:rsidRDefault="001D3E7E" w:rsidP="00FC4873">
      <w:pPr>
        <w:ind w:right="-720"/>
        <w:rPr>
          <w:rFonts w:cs="Arial"/>
          <w:b/>
          <w:sz w:val="24"/>
          <w:szCs w:val="24"/>
        </w:rPr>
      </w:pPr>
      <w:r>
        <w:rPr>
          <w:rFonts w:cs="Arial"/>
          <w:b/>
          <w:sz w:val="24"/>
          <w:szCs w:val="24"/>
        </w:rPr>
        <w:t>Google</w:t>
      </w:r>
      <w:r w:rsidR="00DC501C" w:rsidRPr="00DC501C">
        <w:rPr>
          <w:rFonts w:cs="Arial"/>
          <w:b/>
          <w:sz w:val="24"/>
          <w:szCs w:val="24"/>
        </w:rPr>
        <w:t xml:space="preserve">’s Beta Data &amp; Barron’s Closed-End Fund Data </w:t>
      </w:r>
    </w:p>
    <w:p w:rsidR="00E26167" w:rsidRDefault="00E26167" w:rsidP="00FC4873">
      <w:pPr>
        <w:ind w:right="-720"/>
        <w:rPr>
          <w:rFonts w:cs="Arial"/>
          <w:b/>
          <w:sz w:val="24"/>
          <w:szCs w:val="24"/>
        </w:rPr>
      </w:pPr>
    </w:p>
    <w:p w:rsidR="00E26167" w:rsidRDefault="00E26167" w:rsidP="00E92922">
      <w:pPr>
        <w:ind w:right="-720"/>
        <w:rPr>
          <w:rFonts w:cs="Arial"/>
          <w:sz w:val="24"/>
          <w:szCs w:val="24"/>
        </w:rPr>
      </w:pPr>
      <w:r>
        <w:rPr>
          <w:rFonts w:cs="Arial"/>
          <w:sz w:val="24"/>
          <w:szCs w:val="24"/>
        </w:rPr>
        <w:tab/>
      </w:r>
      <w:r w:rsidRPr="00DC501C">
        <w:rPr>
          <w:rFonts w:cs="Arial"/>
          <w:sz w:val="24"/>
          <w:szCs w:val="24"/>
        </w:rPr>
        <w:t>Each quarter, Barron’s Online (</w:t>
      </w:r>
      <w:hyperlink r:id="rId8" w:history="1">
        <w:r w:rsidRPr="00DC501C">
          <w:rPr>
            <w:rStyle w:val="Hyperlink"/>
            <w:rFonts w:cs="Arial"/>
            <w:sz w:val="24"/>
            <w:szCs w:val="24"/>
          </w:rPr>
          <w:t>www.barrons.com</w:t>
        </w:r>
      </w:hyperlink>
      <w:r w:rsidRPr="00DC501C">
        <w:rPr>
          <w:rFonts w:cs="Arial"/>
          <w:sz w:val="24"/>
          <w:szCs w:val="24"/>
        </w:rPr>
        <w:t>) reports statistics on publicly-traded closed-end funds.  The statistics reported include the discount (or premium) of the market price from the fund’s net asset value (</w:t>
      </w:r>
      <w:smartTag w:uri="urn:schemas-microsoft-com:office:smarttags" w:element="stockticker">
        <w:r w:rsidRPr="00DC501C">
          <w:rPr>
            <w:rFonts w:cs="Arial"/>
            <w:sz w:val="24"/>
            <w:szCs w:val="24"/>
          </w:rPr>
          <w:t>NAV</w:t>
        </w:r>
      </w:smartTag>
      <w:r w:rsidRPr="00DC501C">
        <w:rPr>
          <w:rFonts w:cs="Arial"/>
          <w:sz w:val="24"/>
          <w:szCs w:val="24"/>
        </w:rPr>
        <w:t xml:space="preserve">), the 52-week average discount or premium, the fund’s objective, and various return measurements, etc.  </w:t>
      </w:r>
      <w:r w:rsidR="001D3E7E">
        <w:rPr>
          <w:rFonts w:cs="Arial"/>
          <w:sz w:val="24"/>
          <w:szCs w:val="24"/>
        </w:rPr>
        <w:t xml:space="preserve">Google </w:t>
      </w:r>
      <w:r w:rsidRPr="00DC501C">
        <w:rPr>
          <w:rFonts w:cs="Arial"/>
          <w:sz w:val="24"/>
          <w:szCs w:val="24"/>
        </w:rPr>
        <w:t>(</w:t>
      </w:r>
      <w:hyperlink r:id="rId9" w:history="1">
        <w:r w:rsidR="001D3E7E" w:rsidRPr="006F5EB1">
          <w:rPr>
            <w:rStyle w:val="Hyperlink"/>
            <w:rFonts w:cs="Arial"/>
            <w:sz w:val="24"/>
            <w:szCs w:val="24"/>
          </w:rPr>
          <w:t>www.google.com/finance</w:t>
        </w:r>
      </w:hyperlink>
      <w:r w:rsidRPr="00DC501C">
        <w:rPr>
          <w:rFonts w:cs="Arial"/>
          <w:sz w:val="24"/>
          <w:szCs w:val="24"/>
        </w:rPr>
        <w:t>)</w:t>
      </w:r>
      <w:r>
        <w:rPr>
          <w:rFonts w:cs="Arial"/>
          <w:sz w:val="24"/>
          <w:szCs w:val="24"/>
        </w:rPr>
        <w:t xml:space="preserve"> reports various statistics on these funds, including metrics of beta.  H</w:t>
      </w:r>
      <w:r w:rsidRPr="00DC501C">
        <w:rPr>
          <w:rFonts w:cs="Arial"/>
          <w:sz w:val="24"/>
          <w:szCs w:val="24"/>
        </w:rPr>
        <w:t>ighland Global then calculates the discount range, average, median, and standard deviation and reports these figures based on metrics such as the total data population, beta ranges, fund objectives, etc.</w:t>
      </w:r>
      <w:r>
        <w:rPr>
          <w:rFonts w:cs="Arial"/>
          <w:sz w:val="24"/>
          <w:szCs w:val="24"/>
        </w:rPr>
        <w:t xml:space="preserve">  The following table provides the summary of the analysis of closed-end funds with discounts to NAV during the </w:t>
      </w:r>
      <w:r w:rsidR="00721D16">
        <w:rPr>
          <w:rFonts w:cs="Arial"/>
          <w:sz w:val="24"/>
          <w:szCs w:val="24"/>
        </w:rPr>
        <w:t>f</w:t>
      </w:r>
      <w:r w:rsidR="001D3E7E">
        <w:rPr>
          <w:rFonts w:cs="Arial"/>
          <w:sz w:val="24"/>
          <w:szCs w:val="24"/>
        </w:rPr>
        <w:t>irst</w:t>
      </w:r>
      <w:r w:rsidR="007513E6">
        <w:rPr>
          <w:rFonts w:cs="Arial"/>
          <w:sz w:val="24"/>
          <w:szCs w:val="24"/>
        </w:rPr>
        <w:t xml:space="preserve"> </w:t>
      </w:r>
      <w:r>
        <w:rPr>
          <w:rFonts w:cs="Arial"/>
          <w:sz w:val="24"/>
          <w:szCs w:val="24"/>
        </w:rPr>
        <w:t>quarter 201</w:t>
      </w:r>
      <w:r w:rsidR="001D3E7E">
        <w:rPr>
          <w:rFonts w:cs="Arial"/>
          <w:sz w:val="24"/>
          <w:szCs w:val="24"/>
        </w:rPr>
        <w:t>6</w:t>
      </w:r>
      <w:r>
        <w:rPr>
          <w:rFonts w:cs="Arial"/>
          <w:sz w:val="24"/>
          <w:szCs w:val="24"/>
        </w:rPr>
        <w:t xml:space="preserve">.  </w:t>
      </w:r>
    </w:p>
    <w:p w:rsidR="00E26167" w:rsidRDefault="00E26167" w:rsidP="00E92922">
      <w:pPr>
        <w:ind w:right="-720"/>
        <w:rPr>
          <w:rFonts w:cs="Arial"/>
          <w:sz w:val="24"/>
          <w:szCs w:val="24"/>
        </w:rPr>
      </w:pPr>
      <w:r>
        <w:rPr>
          <w:rFonts w:cs="Arial"/>
          <w:sz w:val="24"/>
          <w:szCs w:val="24"/>
        </w:rPr>
        <w:tab/>
      </w:r>
    </w:p>
    <w:p w:rsidR="00095FBE" w:rsidRPr="00DC501C" w:rsidRDefault="001D3E7E" w:rsidP="00756F83">
      <w:pPr>
        <w:ind w:right="-720"/>
        <w:jc w:val="center"/>
        <w:rPr>
          <w:rFonts w:cs="Arial"/>
          <w:sz w:val="16"/>
          <w:szCs w:val="16"/>
        </w:rPr>
      </w:pPr>
      <w:r w:rsidRPr="001D3E7E">
        <w:rPr>
          <w:szCs w:val="24"/>
        </w:rPr>
        <w:drawing>
          <wp:inline distT="0" distB="0" distL="0" distR="0">
            <wp:extent cx="3657600" cy="1356360"/>
            <wp:effectExtent l="19050" t="0" r="0" b="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srcRect/>
                    <a:stretch>
                      <a:fillRect/>
                    </a:stretch>
                  </pic:blipFill>
                  <pic:spPr bwMode="auto">
                    <a:xfrm>
                      <a:off x="0" y="0"/>
                      <a:ext cx="3657600" cy="1356360"/>
                    </a:xfrm>
                    <a:prstGeom prst="rect">
                      <a:avLst/>
                    </a:prstGeom>
                    <a:noFill/>
                    <a:ln w="9525">
                      <a:noFill/>
                      <a:miter lim="800000"/>
                      <a:headEnd/>
                      <a:tailEnd/>
                    </a:ln>
                  </pic:spPr>
                </pic:pic>
              </a:graphicData>
            </a:graphic>
          </wp:inline>
        </w:drawing>
      </w:r>
      <w:r w:rsidR="00756F83">
        <w:rPr>
          <w:noProof/>
          <w:szCs w:val="24"/>
        </w:rPr>
        <w:br w:type="textWrapping" w:clear="all"/>
      </w:r>
      <w:r w:rsidR="00095FBE">
        <w:rPr>
          <w:rFonts w:cs="Arial"/>
          <w:sz w:val="16"/>
          <w:szCs w:val="16"/>
        </w:rPr>
        <w:tab/>
      </w:r>
      <w:r w:rsidR="00095FBE" w:rsidRPr="00DC501C">
        <w:rPr>
          <w:rFonts w:cs="Arial"/>
          <w:sz w:val="16"/>
          <w:szCs w:val="16"/>
        </w:rPr>
        <w:t xml:space="preserve">Source:  Based on data obtained from </w:t>
      </w:r>
      <w:hyperlink r:id="rId11" w:history="1">
        <w:r w:rsidR="00095FBE" w:rsidRPr="00DC501C">
          <w:rPr>
            <w:rStyle w:val="Hyperlink"/>
            <w:rFonts w:cs="Arial"/>
            <w:sz w:val="16"/>
            <w:szCs w:val="16"/>
          </w:rPr>
          <w:t>www.barrons.com</w:t>
        </w:r>
      </w:hyperlink>
      <w:r w:rsidR="00095FBE" w:rsidRPr="00DC501C">
        <w:rPr>
          <w:rFonts w:cs="Arial"/>
          <w:sz w:val="16"/>
          <w:szCs w:val="16"/>
        </w:rPr>
        <w:t xml:space="preserve"> and </w:t>
      </w:r>
      <w:hyperlink r:id="rId12" w:history="1">
        <w:r w:rsidRPr="006F5EB1">
          <w:rPr>
            <w:rStyle w:val="Hyperlink"/>
            <w:rFonts w:cs="Arial"/>
            <w:sz w:val="16"/>
            <w:szCs w:val="16"/>
          </w:rPr>
          <w:t>www.google.com/finance</w:t>
        </w:r>
      </w:hyperlink>
      <w:r>
        <w:rPr>
          <w:rFonts w:cs="Arial"/>
          <w:sz w:val="16"/>
          <w:szCs w:val="16"/>
        </w:rPr>
        <w:t xml:space="preserve">  </w:t>
      </w:r>
    </w:p>
    <w:p w:rsidR="00095FBE" w:rsidRPr="00DC501C" w:rsidRDefault="00095FBE" w:rsidP="00095FBE">
      <w:pPr>
        <w:tabs>
          <w:tab w:val="left" w:pos="1545"/>
        </w:tabs>
        <w:ind w:right="-720"/>
        <w:rPr>
          <w:rFonts w:cs="Arial"/>
          <w:sz w:val="16"/>
          <w:szCs w:val="16"/>
        </w:rPr>
      </w:pPr>
      <w:r w:rsidRPr="00DC501C">
        <w:rPr>
          <w:rFonts w:cs="Arial"/>
          <w:sz w:val="16"/>
          <w:szCs w:val="16"/>
        </w:rPr>
        <w:t xml:space="preserve"> </w:t>
      </w:r>
    </w:p>
    <w:p w:rsidR="00F22F36" w:rsidRDefault="00F22F36" w:rsidP="00E26167">
      <w:pPr>
        <w:ind w:right="-720"/>
        <w:jc w:val="center"/>
        <w:rPr>
          <w:rFonts w:cs="Arial"/>
          <w:sz w:val="24"/>
          <w:szCs w:val="24"/>
        </w:rPr>
      </w:pPr>
    </w:p>
    <w:p w:rsidR="00DC501C" w:rsidRPr="00DC501C" w:rsidRDefault="00E26167" w:rsidP="00E92922">
      <w:pPr>
        <w:ind w:right="-720"/>
        <w:rPr>
          <w:rFonts w:cs="Arial"/>
          <w:sz w:val="24"/>
          <w:szCs w:val="24"/>
        </w:rPr>
      </w:pPr>
      <w:r>
        <w:rPr>
          <w:rFonts w:cs="Arial"/>
          <w:sz w:val="24"/>
          <w:szCs w:val="24"/>
        </w:rPr>
        <w:tab/>
      </w:r>
      <w:r w:rsidR="00DC501C" w:rsidRPr="00DC501C">
        <w:rPr>
          <w:rFonts w:cs="Arial"/>
          <w:sz w:val="24"/>
          <w:szCs w:val="24"/>
        </w:rPr>
        <w:t>The following table provides the average and median discounts for the entire population and for those closed-end funds with reported betas for given quarters.</w:t>
      </w:r>
    </w:p>
    <w:p w:rsidR="00DC501C" w:rsidRDefault="00DC501C" w:rsidP="00FC4873">
      <w:pPr>
        <w:ind w:right="-720"/>
        <w:rPr>
          <w:rFonts w:cs="Arial"/>
          <w:sz w:val="16"/>
          <w:szCs w:val="16"/>
        </w:rPr>
      </w:pPr>
    </w:p>
    <w:p w:rsidR="00DC501C" w:rsidRPr="00FC4873" w:rsidRDefault="001D3E7E" w:rsidP="003B341B">
      <w:pPr>
        <w:ind w:right="-720"/>
        <w:jc w:val="center"/>
        <w:rPr>
          <w:rFonts w:cs="Arial"/>
          <w:sz w:val="24"/>
          <w:szCs w:val="24"/>
        </w:rPr>
      </w:pPr>
      <w:r w:rsidRPr="001D3E7E">
        <w:rPr>
          <w:szCs w:val="24"/>
        </w:rPr>
        <w:drawing>
          <wp:inline distT="0" distB="0" distL="0" distR="0">
            <wp:extent cx="6191250" cy="1104900"/>
            <wp:effectExtent l="19050" t="0" r="0" b="0"/>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srcRect/>
                    <a:stretch>
                      <a:fillRect/>
                    </a:stretch>
                  </pic:blipFill>
                  <pic:spPr bwMode="auto">
                    <a:xfrm>
                      <a:off x="0" y="0"/>
                      <a:ext cx="6175107" cy="1102019"/>
                    </a:xfrm>
                    <a:prstGeom prst="rect">
                      <a:avLst/>
                    </a:prstGeom>
                    <a:noFill/>
                    <a:ln w="9525">
                      <a:noFill/>
                      <a:miter lim="800000"/>
                      <a:headEnd/>
                      <a:tailEnd/>
                    </a:ln>
                  </pic:spPr>
                </pic:pic>
              </a:graphicData>
            </a:graphic>
          </wp:inline>
        </w:drawing>
      </w:r>
    </w:p>
    <w:p w:rsidR="00095FBE" w:rsidRPr="00DC501C" w:rsidRDefault="00095FBE" w:rsidP="00095FBE">
      <w:pPr>
        <w:tabs>
          <w:tab w:val="left" w:pos="1545"/>
        </w:tabs>
        <w:ind w:right="-720"/>
        <w:rPr>
          <w:rFonts w:cs="Arial"/>
          <w:sz w:val="16"/>
          <w:szCs w:val="16"/>
        </w:rPr>
      </w:pPr>
      <w:r>
        <w:rPr>
          <w:rFonts w:cs="Arial"/>
          <w:sz w:val="24"/>
          <w:szCs w:val="24"/>
        </w:rPr>
        <w:t xml:space="preserve"> </w:t>
      </w:r>
      <w:r w:rsidR="00DC501C" w:rsidRPr="00DC501C">
        <w:rPr>
          <w:rFonts w:cs="Arial"/>
          <w:sz w:val="16"/>
          <w:szCs w:val="16"/>
        </w:rPr>
        <w:t>Based on calculations by Highland Global</w:t>
      </w:r>
      <w:r>
        <w:rPr>
          <w:rFonts w:cs="Arial"/>
          <w:sz w:val="16"/>
          <w:szCs w:val="16"/>
        </w:rPr>
        <w:t xml:space="preserve"> from</w:t>
      </w:r>
      <w:r w:rsidRPr="00DC501C">
        <w:rPr>
          <w:rFonts w:cs="Arial"/>
          <w:sz w:val="16"/>
          <w:szCs w:val="16"/>
        </w:rPr>
        <w:t xml:space="preserve"> data obtained from </w:t>
      </w:r>
      <w:hyperlink r:id="rId14" w:history="1">
        <w:r w:rsidRPr="00DC501C">
          <w:rPr>
            <w:rStyle w:val="Hyperlink"/>
            <w:rFonts w:cs="Arial"/>
            <w:sz w:val="16"/>
            <w:szCs w:val="16"/>
          </w:rPr>
          <w:t>www.barrons.com</w:t>
        </w:r>
      </w:hyperlink>
      <w:r w:rsidRPr="00DC501C">
        <w:rPr>
          <w:rFonts w:cs="Arial"/>
          <w:sz w:val="16"/>
          <w:szCs w:val="16"/>
        </w:rPr>
        <w:t xml:space="preserve"> and </w:t>
      </w:r>
      <w:hyperlink r:id="rId15" w:history="1">
        <w:r w:rsidR="001D3E7E" w:rsidRPr="006F5EB1">
          <w:rPr>
            <w:rStyle w:val="Hyperlink"/>
            <w:rFonts w:cs="Arial"/>
            <w:sz w:val="16"/>
            <w:szCs w:val="16"/>
          </w:rPr>
          <w:t>www.google.com/finance</w:t>
        </w:r>
      </w:hyperlink>
      <w:r w:rsidR="001D3E7E">
        <w:rPr>
          <w:rFonts w:cs="Arial"/>
          <w:sz w:val="16"/>
          <w:szCs w:val="16"/>
        </w:rPr>
        <w:t xml:space="preserve"> </w:t>
      </w:r>
    </w:p>
    <w:p w:rsidR="00DC501C" w:rsidRPr="00DC501C" w:rsidRDefault="00DC501C" w:rsidP="00FC4873">
      <w:pPr>
        <w:ind w:right="-720"/>
        <w:rPr>
          <w:rFonts w:cs="Arial"/>
          <w:sz w:val="16"/>
          <w:szCs w:val="16"/>
        </w:rPr>
      </w:pPr>
    </w:p>
    <w:p w:rsidR="00DC501C" w:rsidRPr="00DC501C" w:rsidRDefault="00DC501C" w:rsidP="00FC4873">
      <w:pPr>
        <w:ind w:right="-720" w:firstLine="720"/>
        <w:rPr>
          <w:rFonts w:cs="Arial"/>
          <w:sz w:val="24"/>
          <w:szCs w:val="24"/>
        </w:rPr>
      </w:pPr>
      <w:r w:rsidRPr="00DC501C">
        <w:rPr>
          <w:rFonts w:cs="Arial"/>
          <w:sz w:val="24"/>
          <w:szCs w:val="24"/>
        </w:rPr>
        <w:t>The following table provides average and median discounts for the entire population and for those closed-end funds with reported betas for the fifty-two week periods.</w:t>
      </w:r>
    </w:p>
    <w:p w:rsidR="00C645CE" w:rsidRDefault="00C645CE" w:rsidP="00FC4873">
      <w:pPr>
        <w:ind w:right="-720"/>
        <w:rPr>
          <w:noProof/>
          <w:sz w:val="16"/>
          <w:szCs w:val="16"/>
        </w:rPr>
      </w:pPr>
    </w:p>
    <w:p w:rsidR="007D7CE8" w:rsidRPr="00E26167" w:rsidRDefault="001D3E7E" w:rsidP="003B341B">
      <w:pPr>
        <w:ind w:right="-720"/>
        <w:jc w:val="center"/>
        <w:rPr>
          <w:noProof/>
          <w:sz w:val="16"/>
          <w:szCs w:val="16"/>
        </w:rPr>
      </w:pPr>
      <w:r w:rsidRPr="001D3E7E">
        <w:rPr>
          <w:szCs w:val="16"/>
        </w:rPr>
        <w:drawing>
          <wp:inline distT="0" distB="0" distL="0" distR="0">
            <wp:extent cx="6137910" cy="1074420"/>
            <wp:effectExtent l="19050" t="0" r="0" b="0"/>
            <wp:docPr id="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srcRect/>
                    <a:stretch>
                      <a:fillRect/>
                    </a:stretch>
                  </pic:blipFill>
                  <pic:spPr bwMode="auto">
                    <a:xfrm>
                      <a:off x="0" y="0"/>
                      <a:ext cx="6133651" cy="1073674"/>
                    </a:xfrm>
                    <a:prstGeom prst="rect">
                      <a:avLst/>
                    </a:prstGeom>
                    <a:noFill/>
                    <a:ln w="9525">
                      <a:noFill/>
                      <a:miter lim="800000"/>
                      <a:headEnd/>
                      <a:tailEnd/>
                    </a:ln>
                  </pic:spPr>
                </pic:pic>
              </a:graphicData>
            </a:graphic>
          </wp:inline>
        </w:drawing>
      </w:r>
    </w:p>
    <w:p w:rsidR="00095FBE" w:rsidRDefault="00095FBE" w:rsidP="00095FBE">
      <w:pPr>
        <w:ind w:right="-720"/>
        <w:rPr>
          <w:rFonts w:cs="Arial"/>
          <w:sz w:val="16"/>
          <w:szCs w:val="16"/>
        </w:rPr>
      </w:pPr>
      <w:r>
        <w:rPr>
          <w:rFonts w:cs="Arial"/>
          <w:sz w:val="24"/>
          <w:szCs w:val="24"/>
        </w:rPr>
        <w:t xml:space="preserve">  </w:t>
      </w:r>
      <w:r w:rsidRPr="00DC501C">
        <w:rPr>
          <w:rFonts w:cs="Arial"/>
          <w:sz w:val="16"/>
          <w:szCs w:val="16"/>
        </w:rPr>
        <w:t>Based on calculations by Highland Global</w:t>
      </w:r>
      <w:r>
        <w:rPr>
          <w:rFonts w:cs="Arial"/>
          <w:sz w:val="16"/>
          <w:szCs w:val="16"/>
        </w:rPr>
        <w:t xml:space="preserve"> from</w:t>
      </w:r>
      <w:r w:rsidRPr="00DC501C">
        <w:rPr>
          <w:rFonts w:cs="Arial"/>
          <w:sz w:val="16"/>
          <w:szCs w:val="16"/>
        </w:rPr>
        <w:t xml:space="preserve"> data obtained from </w:t>
      </w:r>
      <w:hyperlink r:id="rId17" w:history="1">
        <w:r w:rsidRPr="00DC501C">
          <w:rPr>
            <w:rStyle w:val="Hyperlink"/>
            <w:rFonts w:cs="Arial"/>
            <w:sz w:val="16"/>
            <w:szCs w:val="16"/>
          </w:rPr>
          <w:t>www.barrons.com</w:t>
        </w:r>
      </w:hyperlink>
      <w:r w:rsidRPr="00DC501C">
        <w:rPr>
          <w:rFonts w:cs="Arial"/>
          <w:sz w:val="16"/>
          <w:szCs w:val="16"/>
        </w:rPr>
        <w:t xml:space="preserve"> and </w:t>
      </w:r>
      <w:hyperlink r:id="rId18" w:history="1">
        <w:r w:rsidR="001D3E7E" w:rsidRPr="006F5EB1">
          <w:rPr>
            <w:rStyle w:val="Hyperlink"/>
            <w:rFonts w:cs="Arial"/>
            <w:sz w:val="16"/>
            <w:szCs w:val="16"/>
          </w:rPr>
          <w:t>www.google.com/finance</w:t>
        </w:r>
      </w:hyperlink>
    </w:p>
    <w:p w:rsidR="001D3E7E" w:rsidRDefault="001D3E7E" w:rsidP="00095FBE">
      <w:pPr>
        <w:ind w:right="-720"/>
        <w:rPr>
          <w:rFonts w:cs="Arial"/>
          <w:sz w:val="24"/>
          <w:szCs w:val="24"/>
        </w:rPr>
      </w:pPr>
    </w:p>
    <w:p w:rsidR="00DC501C" w:rsidRPr="00DC501C" w:rsidRDefault="00DC501C" w:rsidP="00FC4873">
      <w:pPr>
        <w:ind w:right="-720" w:firstLine="720"/>
        <w:rPr>
          <w:rFonts w:cs="Arial"/>
          <w:sz w:val="24"/>
          <w:szCs w:val="24"/>
        </w:rPr>
      </w:pPr>
      <w:r w:rsidRPr="00DC501C">
        <w:rPr>
          <w:rFonts w:cs="Arial"/>
          <w:sz w:val="24"/>
          <w:szCs w:val="24"/>
        </w:rPr>
        <w:t xml:space="preserve">The following table provides the count for the number of funds within each objective.   </w:t>
      </w:r>
    </w:p>
    <w:p w:rsidR="00DC501C" w:rsidRPr="00DC501C" w:rsidRDefault="00DC501C" w:rsidP="00FC4873">
      <w:pPr>
        <w:ind w:right="-720" w:firstLine="720"/>
        <w:jc w:val="center"/>
        <w:rPr>
          <w:rFonts w:cs="Arial"/>
        </w:rPr>
      </w:pPr>
    </w:p>
    <w:p w:rsidR="00DC501C" w:rsidRPr="00FC4873" w:rsidRDefault="001E36A3" w:rsidP="00FC4873">
      <w:pPr>
        <w:ind w:right="-720"/>
        <w:jc w:val="center"/>
        <w:rPr>
          <w:rFonts w:cs="Arial"/>
        </w:rPr>
      </w:pPr>
      <w:r w:rsidRPr="001E36A3">
        <w:drawing>
          <wp:inline distT="0" distB="0" distL="0" distR="0">
            <wp:extent cx="2872740" cy="3192780"/>
            <wp:effectExtent l="19050" t="0" r="3810" b="0"/>
            <wp:docPr id="2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srcRect/>
                    <a:stretch>
                      <a:fillRect/>
                    </a:stretch>
                  </pic:blipFill>
                  <pic:spPr bwMode="auto">
                    <a:xfrm>
                      <a:off x="0" y="0"/>
                      <a:ext cx="2872740" cy="3192780"/>
                    </a:xfrm>
                    <a:prstGeom prst="rect">
                      <a:avLst/>
                    </a:prstGeom>
                    <a:noFill/>
                    <a:ln w="9525">
                      <a:noFill/>
                      <a:miter lim="800000"/>
                      <a:headEnd/>
                      <a:tailEnd/>
                    </a:ln>
                  </pic:spPr>
                </pic:pic>
              </a:graphicData>
            </a:graphic>
          </wp:inline>
        </w:drawing>
      </w:r>
    </w:p>
    <w:p w:rsidR="00DC501C" w:rsidRPr="00DC501C" w:rsidRDefault="00DC501C" w:rsidP="00FC4873">
      <w:pPr>
        <w:ind w:left="2160" w:right="-720" w:firstLine="720"/>
        <w:rPr>
          <w:rFonts w:cs="Arial"/>
          <w:sz w:val="16"/>
          <w:szCs w:val="16"/>
        </w:rPr>
      </w:pPr>
      <w:r w:rsidRPr="00DC501C">
        <w:rPr>
          <w:rFonts w:cs="Arial"/>
          <w:sz w:val="16"/>
          <w:szCs w:val="16"/>
        </w:rPr>
        <w:t>Based on calculations by Highland Global</w:t>
      </w:r>
    </w:p>
    <w:p w:rsidR="00DC501C" w:rsidRPr="00DC501C" w:rsidRDefault="00DC501C" w:rsidP="00FC4873">
      <w:pPr>
        <w:tabs>
          <w:tab w:val="left" w:pos="1545"/>
        </w:tabs>
        <w:ind w:right="-720"/>
        <w:rPr>
          <w:rFonts w:cs="Arial"/>
          <w:sz w:val="16"/>
          <w:szCs w:val="16"/>
        </w:rPr>
      </w:pPr>
    </w:p>
    <w:p w:rsidR="00DC501C" w:rsidRPr="00DC501C" w:rsidRDefault="00DC501C" w:rsidP="00FC4873">
      <w:pPr>
        <w:tabs>
          <w:tab w:val="left" w:pos="700"/>
        </w:tabs>
        <w:ind w:right="-720"/>
        <w:rPr>
          <w:rFonts w:cs="Arial"/>
          <w:sz w:val="24"/>
          <w:szCs w:val="24"/>
        </w:rPr>
      </w:pPr>
      <w:r w:rsidRPr="00DC501C">
        <w:rPr>
          <w:rFonts w:cs="Arial"/>
          <w:sz w:val="24"/>
          <w:szCs w:val="24"/>
        </w:rPr>
        <w:lastRenderedPageBreak/>
        <w:tab/>
      </w:r>
      <w:r w:rsidRPr="00DC501C">
        <w:rPr>
          <w:rFonts w:cs="Arial"/>
          <w:sz w:val="24"/>
          <w:szCs w:val="24"/>
        </w:rPr>
        <w:tab/>
        <w:t>The following table illustrates the descriptive statistics for each group of fund objectives.</w:t>
      </w:r>
    </w:p>
    <w:p w:rsidR="007D64BC" w:rsidRDefault="007D64BC" w:rsidP="00FC4873">
      <w:pPr>
        <w:tabs>
          <w:tab w:val="left" w:pos="700"/>
        </w:tabs>
        <w:ind w:right="-720"/>
        <w:rPr>
          <w:noProof/>
        </w:rPr>
      </w:pPr>
    </w:p>
    <w:p w:rsidR="00E92922" w:rsidRPr="00FC4873" w:rsidRDefault="00935D1B" w:rsidP="00E92922">
      <w:pPr>
        <w:tabs>
          <w:tab w:val="left" w:pos="700"/>
        </w:tabs>
        <w:ind w:right="-720"/>
        <w:jc w:val="center"/>
        <w:rPr>
          <w:rFonts w:cs="Arial"/>
        </w:rPr>
      </w:pPr>
      <w:r w:rsidRPr="00935D1B">
        <w:drawing>
          <wp:inline distT="0" distB="0" distL="0" distR="0">
            <wp:extent cx="5486400" cy="2517855"/>
            <wp:effectExtent l="19050" t="0" r="0" b="0"/>
            <wp:docPr id="2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srcRect/>
                    <a:stretch>
                      <a:fillRect/>
                    </a:stretch>
                  </pic:blipFill>
                  <pic:spPr bwMode="auto">
                    <a:xfrm>
                      <a:off x="0" y="0"/>
                      <a:ext cx="5486400" cy="2517855"/>
                    </a:xfrm>
                    <a:prstGeom prst="rect">
                      <a:avLst/>
                    </a:prstGeom>
                    <a:noFill/>
                    <a:ln w="9525">
                      <a:noFill/>
                      <a:miter lim="800000"/>
                      <a:headEnd/>
                      <a:tailEnd/>
                    </a:ln>
                  </pic:spPr>
                </pic:pic>
              </a:graphicData>
            </a:graphic>
          </wp:inline>
        </w:drawing>
      </w:r>
    </w:p>
    <w:p w:rsidR="00DC501C" w:rsidRDefault="00DC501C" w:rsidP="00FC4873">
      <w:pPr>
        <w:tabs>
          <w:tab w:val="left" w:pos="700"/>
        </w:tabs>
        <w:ind w:right="-720"/>
      </w:pPr>
      <w:r w:rsidRPr="00DC501C">
        <w:rPr>
          <w:rFonts w:cs="Arial"/>
        </w:rPr>
        <w:tab/>
      </w:r>
      <w:r w:rsidR="00095FBE" w:rsidRPr="00DC501C">
        <w:rPr>
          <w:rFonts w:cs="Arial"/>
          <w:sz w:val="16"/>
          <w:szCs w:val="16"/>
        </w:rPr>
        <w:t>Based on calculations by Highland Global</w:t>
      </w:r>
      <w:r w:rsidR="00095FBE">
        <w:rPr>
          <w:rFonts w:cs="Arial"/>
          <w:sz w:val="16"/>
          <w:szCs w:val="16"/>
        </w:rPr>
        <w:t xml:space="preserve"> from</w:t>
      </w:r>
      <w:r w:rsidR="00095FBE" w:rsidRPr="00DC501C">
        <w:rPr>
          <w:rFonts w:cs="Arial"/>
          <w:sz w:val="16"/>
          <w:szCs w:val="16"/>
        </w:rPr>
        <w:t xml:space="preserve"> data obtained from </w:t>
      </w:r>
      <w:hyperlink r:id="rId21" w:history="1">
        <w:r w:rsidR="00095FBE" w:rsidRPr="00DC501C">
          <w:rPr>
            <w:rStyle w:val="Hyperlink"/>
            <w:rFonts w:cs="Arial"/>
            <w:sz w:val="16"/>
            <w:szCs w:val="16"/>
          </w:rPr>
          <w:t>www.barrons.com</w:t>
        </w:r>
      </w:hyperlink>
      <w:r w:rsidR="00095FBE" w:rsidRPr="00DC501C">
        <w:rPr>
          <w:rFonts w:cs="Arial"/>
          <w:sz w:val="16"/>
          <w:szCs w:val="16"/>
        </w:rPr>
        <w:t xml:space="preserve"> and </w:t>
      </w:r>
      <w:hyperlink r:id="rId22" w:history="1">
        <w:r w:rsidR="00935D1B" w:rsidRPr="006F5EB1">
          <w:rPr>
            <w:rStyle w:val="Hyperlink"/>
            <w:rFonts w:cs="Arial"/>
            <w:sz w:val="16"/>
            <w:szCs w:val="16"/>
          </w:rPr>
          <w:t>www.google.com/finance</w:t>
        </w:r>
      </w:hyperlink>
    </w:p>
    <w:p w:rsidR="00095FBE" w:rsidRPr="00DC501C" w:rsidRDefault="00095FBE" w:rsidP="00FC4873">
      <w:pPr>
        <w:tabs>
          <w:tab w:val="left" w:pos="700"/>
        </w:tabs>
        <w:ind w:right="-720"/>
        <w:rPr>
          <w:rFonts w:cs="Arial"/>
          <w:sz w:val="16"/>
          <w:szCs w:val="16"/>
        </w:rPr>
      </w:pPr>
    </w:p>
    <w:p w:rsidR="00FE31D9" w:rsidRDefault="00DC501C" w:rsidP="00FC4873">
      <w:pPr>
        <w:tabs>
          <w:tab w:val="left" w:pos="700"/>
        </w:tabs>
        <w:ind w:right="-720"/>
        <w:rPr>
          <w:rFonts w:cs="Arial"/>
          <w:sz w:val="24"/>
          <w:szCs w:val="24"/>
        </w:rPr>
      </w:pPr>
      <w:r w:rsidRPr="00DC501C">
        <w:rPr>
          <w:rFonts w:cs="Arial"/>
          <w:sz w:val="24"/>
          <w:szCs w:val="24"/>
        </w:rPr>
        <w:tab/>
        <w:t xml:space="preserve">The descriptive statistics presented in the previous tables may be useful in helping the analyst determine an appropriate baseline discount from which adjustments may be made to determine the final discount applicable to the minority interest being valued.  In the end, however, the analyst always must use reasoned and informed judgment in determining the appropriate baseline discount and the adjustment from that baseline to reflect the particular risk characteristics of the minority interest being valued. </w:t>
      </w:r>
    </w:p>
    <w:p w:rsidR="00095FBE" w:rsidRDefault="00095FBE" w:rsidP="00FC4873">
      <w:pPr>
        <w:tabs>
          <w:tab w:val="left" w:pos="700"/>
        </w:tabs>
        <w:ind w:right="-720"/>
        <w:rPr>
          <w:rFonts w:cs="Arial"/>
          <w:sz w:val="24"/>
          <w:szCs w:val="24"/>
        </w:rPr>
      </w:pPr>
    </w:p>
    <w:p w:rsidR="00095FBE" w:rsidRDefault="00095FBE" w:rsidP="00FC4873">
      <w:pPr>
        <w:tabs>
          <w:tab w:val="left" w:pos="700"/>
        </w:tabs>
        <w:ind w:right="-720"/>
        <w:rPr>
          <w:rFonts w:cs="Arial"/>
          <w:sz w:val="24"/>
          <w:szCs w:val="24"/>
        </w:rPr>
      </w:pPr>
    </w:p>
    <w:p w:rsidR="00095FBE" w:rsidRDefault="00095FBE" w:rsidP="00FC4873">
      <w:pPr>
        <w:tabs>
          <w:tab w:val="left" w:pos="700"/>
        </w:tabs>
        <w:ind w:right="-720"/>
        <w:rPr>
          <w:rFonts w:cs="Arial"/>
          <w:sz w:val="24"/>
          <w:szCs w:val="24"/>
        </w:rPr>
      </w:pPr>
    </w:p>
    <w:p w:rsidR="00095FBE" w:rsidRDefault="00095FBE" w:rsidP="00FC4873">
      <w:pPr>
        <w:tabs>
          <w:tab w:val="left" w:pos="700"/>
        </w:tabs>
        <w:ind w:right="-720"/>
        <w:rPr>
          <w:rFonts w:cs="Arial"/>
          <w:sz w:val="24"/>
          <w:szCs w:val="24"/>
        </w:rPr>
      </w:pPr>
    </w:p>
    <w:p w:rsidR="00095FBE" w:rsidRDefault="00095FBE" w:rsidP="00FC4873">
      <w:pPr>
        <w:tabs>
          <w:tab w:val="left" w:pos="700"/>
        </w:tabs>
        <w:ind w:right="-720"/>
        <w:rPr>
          <w:rFonts w:cs="Arial"/>
          <w:sz w:val="24"/>
          <w:szCs w:val="24"/>
        </w:rPr>
      </w:pPr>
    </w:p>
    <w:p w:rsidR="00095FBE" w:rsidRDefault="00095FBE" w:rsidP="00FC4873">
      <w:pPr>
        <w:tabs>
          <w:tab w:val="left" w:pos="700"/>
        </w:tabs>
        <w:ind w:right="-720"/>
        <w:rPr>
          <w:rFonts w:cs="Arial"/>
          <w:sz w:val="24"/>
          <w:szCs w:val="24"/>
        </w:rPr>
      </w:pPr>
    </w:p>
    <w:p w:rsidR="00095FBE" w:rsidRDefault="00095FBE" w:rsidP="00FC4873">
      <w:pPr>
        <w:tabs>
          <w:tab w:val="left" w:pos="700"/>
        </w:tabs>
        <w:ind w:right="-720"/>
        <w:rPr>
          <w:rFonts w:cs="Arial"/>
          <w:sz w:val="24"/>
          <w:szCs w:val="24"/>
        </w:rPr>
      </w:pPr>
    </w:p>
    <w:p w:rsidR="00095FBE" w:rsidRDefault="00095FBE" w:rsidP="00FC4873">
      <w:pPr>
        <w:tabs>
          <w:tab w:val="left" w:pos="700"/>
        </w:tabs>
        <w:ind w:right="-720"/>
        <w:rPr>
          <w:rFonts w:cs="Arial"/>
          <w:sz w:val="24"/>
          <w:szCs w:val="24"/>
        </w:rPr>
      </w:pPr>
    </w:p>
    <w:p w:rsidR="00095FBE" w:rsidRDefault="00095FBE" w:rsidP="00FC4873">
      <w:pPr>
        <w:tabs>
          <w:tab w:val="left" w:pos="700"/>
        </w:tabs>
        <w:ind w:right="-720"/>
        <w:rPr>
          <w:rFonts w:cs="Arial"/>
          <w:sz w:val="24"/>
          <w:szCs w:val="24"/>
        </w:rPr>
      </w:pPr>
    </w:p>
    <w:p w:rsidR="00095FBE" w:rsidRDefault="00095FBE" w:rsidP="00FC4873">
      <w:pPr>
        <w:tabs>
          <w:tab w:val="left" w:pos="700"/>
        </w:tabs>
        <w:ind w:right="-720"/>
        <w:rPr>
          <w:rFonts w:cs="Arial"/>
          <w:sz w:val="24"/>
          <w:szCs w:val="24"/>
        </w:rPr>
      </w:pPr>
    </w:p>
    <w:p w:rsidR="00095FBE" w:rsidRDefault="00095FBE" w:rsidP="00FC4873">
      <w:pPr>
        <w:tabs>
          <w:tab w:val="left" w:pos="700"/>
        </w:tabs>
        <w:ind w:right="-720"/>
        <w:rPr>
          <w:rFonts w:cs="Arial"/>
          <w:sz w:val="24"/>
          <w:szCs w:val="24"/>
        </w:rPr>
      </w:pPr>
    </w:p>
    <w:p w:rsidR="00095FBE" w:rsidRDefault="00095FBE" w:rsidP="00FC4873">
      <w:pPr>
        <w:tabs>
          <w:tab w:val="left" w:pos="700"/>
        </w:tabs>
        <w:ind w:right="-720"/>
        <w:rPr>
          <w:rFonts w:cs="Arial"/>
          <w:sz w:val="24"/>
          <w:szCs w:val="24"/>
        </w:rPr>
      </w:pPr>
    </w:p>
    <w:p w:rsidR="00095FBE" w:rsidRDefault="00095FBE" w:rsidP="00FC4873">
      <w:pPr>
        <w:tabs>
          <w:tab w:val="left" w:pos="700"/>
        </w:tabs>
        <w:ind w:right="-720"/>
        <w:rPr>
          <w:rFonts w:cs="Arial"/>
          <w:sz w:val="24"/>
          <w:szCs w:val="24"/>
        </w:rPr>
      </w:pPr>
    </w:p>
    <w:p w:rsidR="00095FBE" w:rsidRDefault="00095FBE" w:rsidP="00FC4873">
      <w:pPr>
        <w:tabs>
          <w:tab w:val="left" w:pos="700"/>
        </w:tabs>
        <w:ind w:right="-720"/>
        <w:rPr>
          <w:rFonts w:cs="Arial"/>
          <w:sz w:val="24"/>
          <w:szCs w:val="24"/>
        </w:rPr>
      </w:pPr>
    </w:p>
    <w:p w:rsidR="007D7CE8" w:rsidRDefault="007D7CE8" w:rsidP="00FC4873">
      <w:pPr>
        <w:tabs>
          <w:tab w:val="left" w:pos="700"/>
        </w:tabs>
        <w:ind w:right="-720"/>
        <w:rPr>
          <w:rFonts w:cs="Arial"/>
          <w:sz w:val="24"/>
          <w:szCs w:val="24"/>
        </w:rPr>
      </w:pPr>
    </w:p>
    <w:p w:rsidR="00756F83" w:rsidRDefault="00756F83" w:rsidP="00FC4873">
      <w:pPr>
        <w:tabs>
          <w:tab w:val="left" w:pos="700"/>
        </w:tabs>
        <w:ind w:right="-720"/>
        <w:rPr>
          <w:rFonts w:cs="Arial"/>
          <w:sz w:val="24"/>
          <w:szCs w:val="24"/>
        </w:rPr>
      </w:pPr>
    </w:p>
    <w:p w:rsidR="00756F83" w:rsidRDefault="00756F83" w:rsidP="00FC4873">
      <w:pPr>
        <w:tabs>
          <w:tab w:val="left" w:pos="700"/>
        </w:tabs>
        <w:ind w:right="-720"/>
        <w:rPr>
          <w:rFonts w:cs="Arial"/>
          <w:sz w:val="24"/>
          <w:szCs w:val="24"/>
        </w:rPr>
      </w:pPr>
    </w:p>
    <w:p w:rsidR="00095FBE" w:rsidRDefault="00095FBE" w:rsidP="00FC4873">
      <w:pPr>
        <w:tabs>
          <w:tab w:val="left" w:pos="700"/>
        </w:tabs>
        <w:ind w:right="-720"/>
        <w:rPr>
          <w:rFonts w:cs="Arial"/>
          <w:sz w:val="24"/>
          <w:szCs w:val="24"/>
        </w:rPr>
      </w:pPr>
    </w:p>
    <w:p w:rsidR="00721D16" w:rsidRDefault="00FE31D9" w:rsidP="00DC501C">
      <w:pPr>
        <w:tabs>
          <w:tab w:val="left" w:pos="700"/>
        </w:tabs>
        <w:rPr>
          <w:rFonts w:cs="Arial"/>
          <w:b/>
          <w:sz w:val="24"/>
          <w:szCs w:val="24"/>
        </w:rPr>
      </w:pPr>
      <w:r>
        <w:rPr>
          <w:rFonts w:cs="Arial"/>
          <w:b/>
          <w:sz w:val="24"/>
          <w:szCs w:val="24"/>
        </w:rPr>
        <w:lastRenderedPageBreak/>
        <w:t>B</w:t>
      </w:r>
      <w:r w:rsidR="00DC501C" w:rsidRPr="00DC501C">
        <w:rPr>
          <w:rFonts w:cs="Arial"/>
          <w:b/>
          <w:sz w:val="24"/>
          <w:szCs w:val="24"/>
        </w:rPr>
        <w:t>arron’s Closed-End Fund Data</w:t>
      </w:r>
    </w:p>
    <w:p w:rsidR="00935D1B" w:rsidRDefault="00935D1B" w:rsidP="00DC501C">
      <w:pPr>
        <w:tabs>
          <w:tab w:val="left" w:pos="700"/>
        </w:tabs>
        <w:rPr>
          <w:rFonts w:cs="Arial"/>
          <w:b/>
          <w:sz w:val="24"/>
          <w:szCs w:val="24"/>
        </w:rPr>
      </w:pPr>
    </w:p>
    <w:p w:rsidR="00721D16" w:rsidRDefault="00935D1B" w:rsidP="00721D16">
      <w:pPr>
        <w:tabs>
          <w:tab w:val="left" w:pos="700"/>
        </w:tabs>
        <w:jc w:val="center"/>
        <w:rPr>
          <w:rFonts w:cs="Arial"/>
          <w:b/>
          <w:sz w:val="24"/>
          <w:szCs w:val="24"/>
        </w:rPr>
      </w:pPr>
      <w:r w:rsidRPr="00935D1B">
        <w:rPr>
          <w:szCs w:val="24"/>
        </w:rPr>
        <w:drawing>
          <wp:inline distT="0" distB="0" distL="0" distR="0">
            <wp:extent cx="5486504" cy="7078980"/>
            <wp:effectExtent l="19050" t="0" r="0" b="0"/>
            <wp:docPr id="2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cstate="print"/>
                    <a:srcRect/>
                    <a:stretch>
                      <a:fillRect/>
                    </a:stretch>
                  </pic:blipFill>
                  <pic:spPr bwMode="auto">
                    <a:xfrm>
                      <a:off x="0" y="0"/>
                      <a:ext cx="5486400" cy="7078846"/>
                    </a:xfrm>
                    <a:prstGeom prst="rect">
                      <a:avLst/>
                    </a:prstGeom>
                    <a:noFill/>
                    <a:ln w="9525">
                      <a:noFill/>
                      <a:miter lim="800000"/>
                      <a:headEnd/>
                      <a:tailEnd/>
                    </a:ln>
                  </pic:spPr>
                </pic:pic>
              </a:graphicData>
            </a:graphic>
          </wp:inline>
        </w:drawing>
      </w:r>
    </w:p>
    <w:p w:rsidR="00721D16" w:rsidRDefault="00721D16" w:rsidP="00721D16">
      <w:pPr>
        <w:tabs>
          <w:tab w:val="left" w:pos="700"/>
        </w:tabs>
        <w:jc w:val="center"/>
        <w:rPr>
          <w:rFonts w:cs="Arial"/>
          <w:b/>
          <w:sz w:val="24"/>
          <w:szCs w:val="24"/>
        </w:rPr>
      </w:pPr>
    </w:p>
    <w:p w:rsidR="00935D1B" w:rsidRDefault="00935D1B" w:rsidP="00721D16">
      <w:pPr>
        <w:tabs>
          <w:tab w:val="left" w:pos="700"/>
        </w:tabs>
        <w:jc w:val="center"/>
        <w:rPr>
          <w:rFonts w:cs="Arial"/>
          <w:b/>
          <w:sz w:val="24"/>
          <w:szCs w:val="24"/>
        </w:rPr>
      </w:pPr>
      <w:r w:rsidRPr="00935D1B">
        <w:rPr>
          <w:szCs w:val="24"/>
        </w:rPr>
        <w:drawing>
          <wp:inline distT="0" distB="0" distL="0" distR="0">
            <wp:extent cx="5486400" cy="7269342"/>
            <wp:effectExtent l="19050" t="0" r="0" b="0"/>
            <wp:docPr id="2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cstate="print"/>
                    <a:srcRect/>
                    <a:stretch>
                      <a:fillRect/>
                    </a:stretch>
                  </pic:blipFill>
                  <pic:spPr bwMode="auto">
                    <a:xfrm>
                      <a:off x="0" y="0"/>
                      <a:ext cx="5486400" cy="7269342"/>
                    </a:xfrm>
                    <a:prstGeom prst="rect">
                      <a:avLst/>
                    </a:prstGeom>
                    <a:noFill/>
                    <a:ln w="9525">
                      <a:noFill/>
                      <a:miter lim="800000"/>
                      <a:headEnd/>
                      <a:tailEnd/>
                    </a:ln>
                  </pic:spPr>
                </pic:pic>
              </a:graphicData>
            </a:graphic>
          </wp:inline>
        </w:drawing>
      </w:r>
    </w:p>
    <w:p w:rsidR="00935D1B" w:rsidRDefault="00935D1B" w:rsidP="00721D16">
      <w:pPr>
        <w:tabs>
          <w:tab w:val="left" w:pos="700"/>
        </w:tabs>
        <w:jc w:val="center"/>
        <w:rPr>
          <w:rFonts w:cs="Arial"/>
          <w:b/>
          <w:sz w:val="24"/>
          <w:szCs w:val="24"/>
        </w:rPr>
      </w:pPr>
    </w:p>
    <w:p w:rsidR="00935D1B" w:rsidRDefault="00935D1B" w:rsidP="00721D16">
      <w:pPr>
        <w:tabs>
          <w:tab w:val="left" w:pos="700"/>
        </w:tabs>
        <w:jc w:val="center"/>
        <w:rPr>
          <w:rFonts w:cs="Arial"/>
          <w:b/>
          <w:sz w:val="24"/>
          <w:szCs w:val="24"/>
        </w:rPr>
      </w:pPr>
      <w:r w:rsidRPr="00935D1B">
        <w:rPr>
          <w:szCs w:val="24"/>
        </w:rPr>
        <w:drawing>
          <wp:inline distT="0" distB="0" distL="0" distR="0">
            <wp:extent cx="5486400" cy="7269342"/>
            <wp:effectExtent l="19050" t="0" r="0" b="0"/>
            <wp:docPr id="2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cstate="print"/>
                    <a:srcRect/>
                    <a:stretch>
                      <a:fillRect/>
                    </a:stretch>
                  </pic:blipFill>
                  <pic:spPr bwMode="auto">
                    <a:xfrm>
                      <a:off x="0" y="0"/>
                      <a:ext cx="5486400" cy="7269342"/>
                    </a:xfrm>
                    <a:prstGeom prst="rect">
                      <a:avLst/>
                    </a:prstGeom>
                    <a:noFill/>
                    <a:ln w="9525">
                      <a:noFill/>
                      <a:miter lim="800000"/>
                      <a:headEnd/>
                      <a:tailEnd/>
                    </a:ln>
                  </pic:spPr>
                </pic:pic>
              </a:graphicData>
            </a:graphic>
          </wp:inline>
        </w:drawing>
      </w:r>
    </w:p>
    <w:p w:rsidR="00935D1B" w:rsidRDefault="00935D1B" w:rsidP="00721D16">
      <w:pPr>
        <w:tabs>
          <w:tab w:val="left" w:pos="700"/>
        </w:tabs>
        <w:jc w:val="center"/>
        <w:rPr>
          <w:rFonts w:cs="Arial"/>
          <w:b/>
          <w:sz w:val="24"/>
          <w:szCs w:val="24"/>
        </w:rPr>
      </w:pPr>
    </w:p>
    <w:p w:rsidR="00935D1B" w:rsidRDefault="00935D1B" w:rsidP="00721D16">
      <w:pPr>
        <w:tabs>
          <w:tab w:val="left" w:pos="700"/>
        </w:tabs>
        <w:jc w:val="center"/>
        <w:rPr>
          <w:rFonts w:cs="Arial"/>
          <w:b/>
          <w:sz w:val="24"/>
          <w:szCs w:val="24"/>
        </w:rPr>
      </w:pPr>
      <w:r w:rsidRPr="00935D1B">
        <w:rPr>
          <w:szCs w:val="24"/>
        </w:rPr>
        <w:drawing>
          <wp:inline distT="0" distB="0" distL="0" distR="0">
            <wp:extent cx="5486400" cy="7269342"/>
            <wp:effectExtent l="19050" t="0" r="0" b="0"/>
            <wp:docPr id="2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cstate="print"/>
                    <a:srcRect/>
                    <a:stretch>
                      <a:fillRect/>
                    </a:stretch>
                  </pic:blipFill>
                  <pic:spPr bwMode="auto">
                    <a:xfrm>
                      <a:off x="0" y="0"/>
                      <a:ext cx="5486400" cy="7269342"/>
                    </a:xfrm>
                    <a:prstGeom prst="rect">
                      <a:avLst/>
                    </a:prstGeom>
                    <a:noFill/>
                    <a:ln w="9525">
                      <a:noFill/>
                      <a:miter lim="800000"/>
                      <a:headEnd/>
                      <a:tailEnd/>
                    </a:ln>
                  </pic:spPr>
                </pic:pic>
              </a:graphicData>
            </a:graphic>
          </wp:inline>
        </w:drawing>
      </w:r>
    </w:p>
    <w:p w:rsidR="00935D1B" w:rsidRDefault="00935D1B" w:rsidP="00721D16">
      <w:pPr>
        <w:tabs>
          <w:tab w:val="left" w:pos="700"/>
        </w:tabs>
        <w:jc w:val="center"/>
        <w:rPr>
          <w:rFonts w:cs="Arial"/>
          <w:b/>
          <w:sz w:val="24"/>
          <w:szCs w:val="24"/>
        </w:rPr>
      </w:pPr>
    </w:p>
    <w:p w:rsidR="00935D1B" w:rsidRDefault="00935D1B" w:rsidP="00721D16">
      <w:pPr>
        <w:tabs>
          <w:tab w:val="left" w:pos="700"/>
        </w:tabs>
        <w:jc w:val="center"/>
        <w:rPr>
          <w:rFonts w:cs="Arial"/>
          <w:b/>
          <w:sz w:val="24"/>
          <w:szCs w:val="24"/>
        </w:rPr>
      </w:pPr>
      <w:r w:rsidRPr="00935D1B">
        <w:rPr>
          <w:szCs w:val="24"/>
        </w:rPr>
        <w:drawing>
          <wp:inline distT="0" distB="0" distL="0" distR="0">
            <wp:extent cx="5486400" cy="7269342"/>
            <wp:effectExtent l="19050" t="0" r="0" b="0"/>
            <wp:docPr id="2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7" cstate="print"/>
                    <a:srcRect/>
                    <a:stretch>
                      <a:fillRect/>
                    </a:stretch>
                  </pic:blipFill>
                  <pic:spPr bwMode="auto">
                    <a:xfrm>
                      <a:off x="0" y="0"/>
                      <a:ext cx="5486400" cy="7269342"/>
                    </a:xfrm>
                    <a:prstGeom prst="rect">
                      <a:avLst/>
                    </a:prstGeom>
                    <a:noFill/>
                    <a:ln w="9525">
                      <a:noFill/>
                      <a:miter lim="800000"/>
                      <a:headEnd/>
                      <a:tailEnd/>
                    </a:ln>
                  </pic:spPr>
                </pic:pic>
              </a:graphicData>
            </a:graphic>
          </wp:inline>
        </w:drawing>
      </w:r>
    </w:p>
    <w:p w:rsidR="00935D1B" w:rsidRDefault="00935D1B" w:rsidP="00721D16">
      <w:pPr>
        <w:tabs>
          <w:tab w:val="left" w:pos="700"/>
        </w:tabs>
        <w:jc w:val="center"/>
        <w:rPr>
          <w:rFonts w:cs="Arial"/>
          <w:b/>
          <w:sz w:val="24"/>
          <w:szCs w:val="24"/>
        </w:rPr>
      </w:pPr>
    </w:p>
    <w:p w:rsidR="00935D1B" w:rsidRDefault="00935D1B" w:rsidP="00721D16">
      <w:pPr>
        <w:tabs>
          <w:tab w:val="left" w:pos="700"/>
        </w:tabs>
        <w:jc w:val="center"/>
        <w:rPr>
          <w:rFonts w:cs="Arial"/>
          <w:b/>
          <w:sz w:val="24"/>
          <w:szCs w:val="24"/>
        </w:rPr>
      </w:pPr>
      <w:r w:rsidRPr="00935D1B">
        <w:rPr>
          <w:szCs w:val="24"/>
        </w:rPr>
        <w:drawing>
          <wp:inline distT="0" distB="0" distL="0" distR="0">
            <wp:extent cx="5486400" cy="7269342"/>
            <wp:effectExtent l="19050" t="0" r="0" b="0"/>
            <wp:docPr id="2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8" cstate="print"/>
                    <a:srcRect/>
                    <a:stretch>
                      <a:fillRect/>
                    </a:stretch>
                  </pic:blipFill>
                  <pic:spPr bwMode="auto">
                    <a:xfrm>
                      <a:off x="0" y="0"/>
                      <a:ext cx="5486400" cy="7269342"/>
                    </a:xfrm>
                    <a:prstGeom prst="rect">
                      <a:avLst/>
                    </a:prstGeom>
                    <a:noFill/>
                    <a:ln w="9525">
                      <a:noFill/>
                      <a:miter lim="800000"/>
                      <a:headEnd/>
                      <a:tailEnd/>
                    </a:ln>
                  </pic:spPr>
                </pic:pic>
              </a:graphicData>
            </a:graphic>
          </wp:inline>
        </w:drawing>
      </w:r>
    </w:p>
    <w:p w:rsidR="00935D1B" w:rsidRDefault="00935D1B" w:rsidP="00721D16">
      <w:pPr>
        <w:tabs>
          <w:tab w:val="left" w:pos="700"/>
        </w:tabs>
        <w:jc w:val="center"/>
        <w:rPr>
          <w:rFonts w:cs="Arial"/>
          <w:b/>
          <w:sz w:val="24"/>
          <w:szCs w:val="24"/>
        </w:rPr>
      </w:pPr>
    </w:p>
    <w:p w:rsidR="00935D1B" w:rsidRDefault="00935D1B" w:rsidP="00721D16">
      <w:pPr>
        <w:tabs>
          <w:tab w:val="left" w:pos="700"/>
        </w:tabs>
        <w:jc w:val="center"/>
        <w:rPr>
          <w:rFonts w:cs="Arial"/>
          <w:b/>
          <w:sz w:val="24"/>
          <w:szCs w:val="24"/>
        </w:rPr>
      </w:pPr>
      <w:r w:rsidRPr="00935D1B">
        <w:rPr>
          <w:szCs w:val="24"/>
        </w:rPr>
        <w:drawing>
          <wp:inline distT="0" distB="0" distL="0" distR="0">
            <wp:extent cx="5486400" cy="7269342"/>
            <wp:effectExtent l="19050" t="0" r="0" b="0"/>
            <wp:docPr id="3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9" cstate="print"/>
                    <a:srcRect/>
                    <a:stretch>
                      <a:fillRect/>
                    </a:stretch>
                  </pic:blipFill>
                  <pic:spPr bwMode="auto">
                    <a:xfrm>
                      <a:off x="0" y="0"/>
                      <a:ext cx="5486400" cy="7269342"/>
                    </a:xfrm>
                    <a:prstGeom prst="rect">
                      <a:avLst/>
                    </a:prstGeom>
                    <a:noFill/>
                    <a:ln w="9525">
                      <a:noFill/>
                      <a:miter lim="800000"/>
                      <a:headEnd/>
                      <a:tailEnd/>
                    </a:ln>
                  </pic:spPr>
                </pic:pic>
              </a:graphicData>
            </a:graphic>
          </wp:inline>
        </w:drawing>
      </w:r>
    </w:p>
    <w:p w:rsidR="00935D1B" w:rsidRDefault="00935D1B" w:rsidP="00721D16">
      <w:pPr>
        <w:tabs>
          <w:tab w:val="left" w:pos="700"/>
        </w:tabs>
        <w:jc w:val="center"/>
        <w:rPr>
          <w:rFonts w:cs="Arial"/>
          <w:b/>
          <w:sz w:val="24"/>
          <w:szCs w:val="24"/>
        </w:rPr>
      </w:pPr>
    </w:p>
    <w:p w:rsidR="00935D1B" w:rsidRDefault="00935D1B" w:rsidP="00721D16">
      <w:pPr>
        <w:tabs>
          <w:tab w:val="left" w:pos="700"/>
        </w:tabs>
        <w:jc w:val="center"/>
        <w:rPr>
          <w:rFonts w:cs="Arial"/>
          <w:b/>
          <w:sz w:val="24"/>
          <w:szCs w:val="24"/>
        </w:rPr>
      </w:pPr>
      <w:r w:rsidRPr="00935D1B">
        <w:rPr>
          <w:szCs w:val="24"/>
        </w:rPr>
        <w:drawing>
          <wp:inline distT="0" distB="0" distL="0" distR="0">
            <wp:extent cx="5486400" cy="7269342"/>
            <wp:effectExtent l="19050" t="0" r="0" b="0"/>
            <wp:docPr id="3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0" cstate="print"/>
                    <a:srcRect/>
                    <a:stretch>
                      <a:fillRect/>
                    </a:stretch>
                  </pic:blipFill>
                  <pic:spPr bwMode="auto">
                    <a:xfrm>
                      <a:off x="0" y="0"/>
                      <a:ext cx="5486400" cy="7269342"/>
                    </a:xfrm>
                    <a:prstGeom prst="rect">
                      <a:avLst/>
                    </a:prstGeom>
                    <a:noFill/>
                    <a:ln w="9525">
                      <a:noFill/>
                      <a:miter lim="800000"/>
                      <a:headEnd/>
                      <a:tailEnd/>
                    </a:ln>
                  </pic:spPr>
                </pic:pic>
              </a:graphicData>
            </a:graphic>
          </wp:inline>
        </w:drawing>
      </w:r>
    </w:p>
    <w:p w:rsidR="00935D1B" w:rsidRDefault="00935D1B" w:rsidP="00721D16">
      <w:pPr>
        <w:tabs>
          <w:tab w:val="left" w:pos="700"/>
        </w:tabs>
        <w:jc w:val="center"/>
        <w:rPr>
          <w:rFonts w:cs="Arial"/>
          <w:b/>
          <w:sz w:val="24"/>
          <w:szCs w:val="24"/>
        </w:rPr>
      </w:pPr>
    </w:p>
    <w:p w:rsidR="00935D1B" w:rsidRDefault="00935D1B" w:rsidP="00721D16">
      <w:pPr>
        <w:tabs>
          <w:tab w:val="left" w:pos="700"/>
        </w:tabs>
        <w:jc w:val="center"/>
        <w:rPr>
          <w:rFonts w:cs="Arial"/>
          <w:b/>
          <w:sz w:val="24"/>
          <w:szCs w:val="24"/>
        </w:rPr>
      </w:pPr>
      <w:r w:rsidRPr="00935D1B">
        <w:rPr>
          <w:szCs w:val="24"/>
        </w:rPr>
        <w:drawing>
          <wp:inline distT="0" distB="0" distL="0" distR="0">
            <wp:extent cx="5486400" cy="5095693"/>
            <wp:effectExtent l="19050" t="0" r="0" b="0"/>
            <wp:docPr id="32"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1" cstate="print"/>
                    <a:srcRect/>
                    <a:stretch>
                      <a:fillRect/>
                    </a:stretch>
                  </pic:blipFill>
                  <pic:spPr bwMode="auto">
                    <a:xfrm>
                      <a:off x="0" y="0"/>
                      <a:ext cx="5486400" cy="5095693"/>
                    </a:xfrm>
                    <a:prstGeom prst="rect">
                      <a:avLst/>
                    </a:prstGeom>
                    <a:noFill/>
                    <a:ln w="9525">
                      <a:noFill/>
                      <a:miter lim="800000"/>
                      <a:headEnd/>
                      <a:tailEnd/>
                    </a:ln>
                  </pic:spPr>
                </pic:pic>
              </a:graphicData>
            </a:graphic>
          </wp:inline>
        </w:drawing>
      </w:r>
    </w:p>
    <w:p w:rsidR="00935D1B" w:rsidRDefault="00935D1B" w:rsidP="00721D16">
      <w:pPr>
        <w:tabs>
          <w:tab w:val="left" w:pos="700"/>
        </w:tabs>
        <w:jc w:val="center"/>
        <w:rPr>
          <w:rFonts w:cs="Arial"/>
          <w:b/>
          <w:sz w:val="24"/>
          <w:szCs w:val="24"/>
        </w:rPr>
      </w:pPr>
    </w:p>
    <w:p w:rsidR="00935D1B" w:rsidRDefault="00935D1B" w:rsidP="00721D16">
      <w:pPr>
        <w:tabs>
          <w:tab w:val="left" w:pos="700"/>
        </w:tabs>
        <w:jc w:val="center"/>
        <w:rPr>
          <w:rFonts w:cs="Arial"/>
          <w:b/>
          <w:sz w:val="24"/>
          <w:szCs w:val="24"/>
        </w:rPr>
      </w:pPr>
    </w:p>
    <w:p w:rsidR="00935D1B" w:rsidRDefault="00935D1B" w:rsidP="00721D16">
      <w:pPr>
        <w:tabs>
          <w:tab w:val="left" w:pos="700"/>
        </w:tabs>
        <w:jc w:val="center"/>
        <w:rPr>
          <w:rFonts w:cs="Arial"/>
          <w:b/>
          <w:sz w:val="24"/>
          <w:szCs w:val="24"/>
        </w:rPr>
      </w:pPr>
    </w:p>
    <w:p w:rsidR="00935D1B" w:rsidRDefault="00935D1B" w:rsidP="00721D16">
      <w:pPr>
        <w:tabs>
          <w:tab w:val="left" w:pos="700"/>
        </w:tabs>
        <w:jc w:val="center"/>
        <w:rPr>
          <w:rFonts w:cs="Arial"/>
          <w:b/>
          <w:sz w:val="24"/>
          <w:szCs w:val="24"/>
        </w:rPr>
      </w:pPr>
    </w:p>
    <w:p w:rsidR="00935D1B" w:rsidRDefault="00935D1B" w:rsidP="00721D16">
      <w:pPr>
        <w:tabs>
          <w:tab w:val="left" w:pos="700"/>
        </w:tabs>
        <w:jc w:val="center"/>
        <w:rPr>
          <w:rFonts w:cs="Arial"/>
          <w:b/>
          <w:sz w:val="24"/>
          <w:szCs w:val="24"/>
        </w:rPr>
      </w:pPr>
    </w:p>
    <w:p w:rsidR="00935D1B" w:rsidRDefault="00935D1B" w:rsidP="00721D16">
      <w:pPr>
        <w:tabs>
          <w:tab w:val="left" w:pos="700"/>
        </w:tabs>
        <w:jc w:val="center"/>
        <w:rPr>
          <w:rFonts w:cs="Arial"/>
          <w:b/>
          <w:sz w:val="24"/>
          <w:szCs w:val="24"/>
        </w:rPr>
      </w:pPr>
    </w:p>
    <w:p w:rsidR="00935D1B" w:rsidRDefault="00935D1B" w:rsidP="00935D1B">
      <w:pPr>
        <w:tabs>
          <w:tab w:val="left" w:pos="700"/>
        </w:tabs>
        <w:rPr>
          <w:rFonts w:cs="Arial"/>
          <w:b/>
          <w:sz w:val="24"/>
          <w:szCs w:val="24"/>
        </w:rPr>
      </w:pPr>
    </w:p>
    <w:sectPr w:rsidR="00935D1B" w:rsidSect="003C7ED8">
      <w:headerReference w:type="default" r:id="rId32"/>
      <w:footerReference w:type="default" r:id="rId33"/>
      <w:pgSz w:w="12240" w:h="15840" w:code="1"/>
      <w:pgMar w:top="2448"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116A" w:rsidRDefault="0019116A" w:rsidP="008F13E0">
      <w:r>
        <w:separator/>
      </w:r>
    </w:p>
  </w:endnote>
  <w:endnote w:type="continuationSeparator" w:id="0">
    <w:p w:rsidR="0019116A" w:rsidRDefault="0019116A" w:rsidP="008F13E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7E83" w:rsidRDefault="00F23AA9">
    <w:pPr>
      <w:pStyle w:val="Footer"/>
    </w:pPr>
    <w:r>
      <w:rPr>
        <w:noProof/>
      </w:rPr>
      <w:pict>
        <v:shapetype id="_x0000_t202" coordsize="21600,21600" o:spt="202" path="m,l,21600r21600,l21600,xe">
          <v:stroke joinstyle="miter"/>
          <v:path gradientshapeok="t" o:connecttype="rect"/>
        </v:shapetype>
        <v:shape id="_x0000_s2060" type="#_x0000_t202" style="position:absolute;left:0;text-align:left;margin-left:-90pt;margin-top:-3.6pt;width:612pt;height:126.35pt;z-index:251657728" fillcolor="black">
          <v:textbox style="mso-next-textbox:#_x0000_s2060">
            <w:txbxContent>
              <w:p w:rsidR="003B14D6" w:rsidRDefault="003B14D6" w:rsidP="003B14D6">
                <w:pPr>
                  <w:jc w:val="center"/>
                  <w:rPr>
                    <w:rFonts w:cs="Arial"/>
                    <w:b/>
                    <w:bCs/>
                    <w:color w:val="FFFFFF"/>
                    <w:sz w:val="16"/>
                    <w:szCs w:val="16"/>
                  </w:rPr>
                </w:pPr>
              </w:p>
              <w:p w:rsidR="000F79C6" w:rsidRDefault="000F79C6" w:rsidP="000F79C6">
                <w:pPr>
                  <w:jc w:val="center"/>
                  <w:rPr>
                    <w:rFonts w:cs="Arial"/>
                    <w:b/>
                    <w:bCs/>
                    <w:color w:val="FFFFFF"/>
                    <w:sz w:val="16"/>
                    <w:szCs w:val="16"/>
                  </w:rPr>
                </w:pPr>
                <w:smartTag w:uri="urn:schemas-microsoft-com:office:smarttags" w:element="City">
                  <w:smartTag w:uri="urn:schemas-microsoft-com:office:smarttags" w:element="place">
                    <w:r>
                      <w:rPr>
                        <w:rFonts w:cs="Arial"/>
                        <w:b/>
                        <w:bCs/>
                        <w:color w:val="FFFFFF"/>
                        <w:sz w:val="16"/>
                        <w:szCs w:val="16"/>
                      </w:rPr>
                      <w:t>HIGHLAND</w:t>
                    </w:r>
                  </w:smartTag>
                </w:smartTag>
                <w:r>
                  <w:rPr>
                    <w:rFonts w:cs="Arial"/>
                    <w:b/>
                    <w:bCs/>
                    <w:color w:val="FFFFFF"/>
                    <w:sz w:val="16"/>
                    <w:szCs w:val="16"/>
                  </w:rPr>
                  <w:t xml:space="preserve"> GLOBAL </w:t>
                </w:r>
              </w:p>
              <w:p w:rsidR="000F79C6" w:rsidRPr="00977E83" w:rsidRDefault="000F79C6" w:rsidP="000F79C6">
                <w:pPr>
                  <w:jc w:val="center"/>
                  <w:rPr>
                    <w:rFonts w:cs="Arial"/>
                    <w:b/>
                    <w:bCs/>
                    <w:color w:val="FFFFFF"/>
                    <w:sz w:val="16"/>
                    <w:szCs w:val="16"/>
                  </w:rPr>
                </w:pPr>
                <w:smartTag w:uri="urn:schemas-microsoft-com:office:smarttags" w:element="place">
                  <w:smartTag w:uri="urn:schemas-microsoft-com:office:smarttags" w:element="City">
                    <w:r>
                      <w:rPr>
                        <w:rFonts w:cs="Arial"/>
                        <w:b/>
                        <w:bCs/>
                        <w:color w:val="FFFFFF"/>
                        <w:sz w:val="16"/>
                        <w:szCs w:val="16"/>
                      </w:rPr>
                      <w:t>MYRTLE BEACH</w:t>
                    </w:r>
                  </w:smartTag>
                  <w:r>
                    <w:rPr>
                      <w:rFonts w:cs="Arial"/>
                      <w:b/>
                      <w:bCs/>
                      <w:color w:val="FFFFFF"/>
                      <w:sz w:val="16"/>
                      <w:szCs w:val="16"/>
                    </w:rPr>
                    <w:t xml:space="preserve">, </w:t>
                  </w:r>
                  <w:smartTag w:uri="urn:schemas-microsoft-com:office:smarttags" w:element="State">
                    <w:r>
                      <w:rPr>
                        <w:rFonts w:cs="Arial"/>
                        <w:b/>
                        <w:bCs/>
                        <w:color w:val="FFFFFF"/>
                        <w:sz w:val="16"/>
                        <w:szCs w:val="16"/>
                      </w:rPr>
                      <w:t>SC</w:t>
                    </w:r>
                  </w:smartTag>
                </w:smartTag>
                <w:r>
                  <w:rPr>
                    <w:rFonts w:cs="Arial"/>
                    <w:b/>
                    <w:bCs/>
                    <w:color w:val="FFFFFF"/>
                    <w:sz w:val="16"/>
                    <w:szCs w:val="16"/>
                  </w:rPr>
                  <w:t xml:space="preserve">     </w:t>
                </w:r>
                <w:smartTag w:uri="urn:schemas-microsoft-com:office:smarttags" w:element="place">
                  <w:smartTag w:uri="urn:schemas-microsoft-com:office:smarttags" w:element="City">
                    <w:r>
                      <w:rPr>
                        <w:rFonts w:cs="Arial"/>
                        <w:b/>
                        <w:bCs/>
                        <w:color w:val="FFFFFF"/>
                        <w:sz w:val="16"/>
                        <w:szCs w:val="16"/>
                      </w:rPr>
                      <w:t>ORLANDO</w:t>
                    </w:r>
                  </w:smartTag>
                  <w:r>
                    <w:rPr>
                      <w:rFonts w:cs="Arial"/>
                      <w:b/>
                      <w:bCs/>
                      <w:color w:val="FFFFFF"/>
                      <w:sz w:val="16"/>
                      <w:szCs w:val="16"/>
                    </w:rPr>
                    <w:t xml:space="preserve">, </w:t>
                  </w:r>
                  <w:smartTag w:uri="urn:schemas-microsoft-com:office:smarttags" w:element="State">
                    <w:r>
                      <w:rPr>
                        <w:rFonts w:cs="Arial"/>
                        <w:b/>
                        <w:bCs/>
                        <w:color w:val="FFFFFF"/>
                        <w:sz w:val="16"/>
                        <w:szCs w:val="16"/>
                      </w:rPr>
                      <w:t>FL</w:t>
                    </w:r>
                  </w:smartTag>
                </w:smartTag>
                <w:r>
                  <w:rPr>
                    <w:rFonts w:cs="Arial"/>
                    <w:b/>
                    <w:bCs/>
                    <w:color w:val="FFFFFF"/>
                    <w:sz w:val="16"/>
                    <w:szCs w:val="16"/>
                  </w:rPr>
                  <w:t xml:space="preserve">     </w:t>
                </w:r>
                <w:smartTag w:uri="urn:schemas-microsoft-com:office:smarttags" w:element="place">
                  <w:smartTag w:uri="urn:schemas-microsoft-com:office:smarttags" w:element="City">
                    <w:r>
                      <w:rPr>
                        <w:rFonts w:cs="Arial"/>
                        <w:b/>
                        <w:bCs/>
                        <w:color w:val="FFFFFF"/>
                        <w:sz w:val="16"/>
                        <w:szCs w:val="16"/>
                      </w:rPr>
                      <w:t>DALLAS</w:t>
                    </w:r>
                  </w:smartTag>
                  <w:r>
                    <w:rPr>
                      <w:rFonts w:cs="Arial"/>
                      <w:b/>
                      <w:bCs/>
                      <w:color w:val="FFFFFF"/>
                      <w:sz w:val="16"/>
                      <w:szCs w:val="16"/>
                    </w:rPr>
                    <w:t xml:space="preserve">, </w:t>
                  </w:r>
                  <w:smartTag w:uri="urn:schemas-microsoft-com:office:smarttags" w:element="State">
                    <w:r>
                      <w:rPr>
                        <w:rFonts w:cs="Arial"/>
                        <w:b/>
                        <w:bCs/>
                        <w:color w:val="FFFFFF"/>
                        <w:sz w:val="16"/>
                        <w:szCs w:val="16"/>
                      </w:rPr>
                      <w:t>TX</w:t>
                    </w:r>
                  </w:smartTag>
                </w:smartTag>
                <w:r>
                  <w:rPr>
                    <w:rFonts w:cs="Arial"/>
                    <w:b/>
                    <w:bCs/>
                    <w:color w:val="FFFFFF"/>
                    <w:sz w:val="16"/>
                    <w:szCs w:val="16"/>
                  </w:rPr>
                  <w:t xml:space="preserve">     </w:t>
                </w:r>
                <w:smartTag w:uri="urn:schemas-microsoft-com:office:smarttags" w:element="place">
                  <w:smartTag w:uri="urn:schemas-microsoft-com:office:smarttags" w:element="City">
                    <w:r>
                      <w:rPr>
                        <w:rFonts w:cs="Arial"/>
                        <w:b/>
                        <w:bCs/>
                        <w:color w:val="FFFFFF"/>
                        <w:sz w:val="16"/>
                        <w:szCs w:val="16"/>
                      </w:rPr>
                      <w:t>WASHINGTON</w:t>
                    </w:r>
                  </w:smartTag>
                  <w:r>
                    <w:rPr>
                      <w:rFonts w:cs="Arial"/>
                      <w:b/>
                      <w:bCs/>
                      <w:color w:val="FFFFFF"/>
                      <w:sz w:val="16"/>
                      <w:szCs w:val="16"/>
                    </w:rPr>
                    <w:t xml:space="preserve">, </w:t>
                  </w:r>
                  <w:smartTag w:uri="urn:schemas-microsoft-com:office:smarttags" w:element="State">
                    <w:r>
                      <w:rPr>
                        <w:rFonts w:cs="Arial"/>
                        <w:b/>
                        <w:bCs/>
                        <w:color w:val="FFFFFF"/>
                        <w:sz w:val="16"/>
                        <w:szCs w:val="16"/>
                      </w:rPr>
                      <w:t>D.C.</w:t>
                    </w:r>
                  </w:smartTag>
                </w:smartTag>
              </w:p>
              <w:p w:rsidR="000F79C6" w:rsidRDefault="000F79C6" w:rsidP="000F79C6">
                <w:pPr>
                  <w:jc w:val="center"/>
                  <w:rPr>
                    <w:rFonts w:cs="Arial"/>
                    <w:b/>
                    <w:bCs/>
                    <w:color w:val="FFFFFF"/>
                    <w:sz w:val="16"/>
                    <w:szCs w:val="16"/>
                  </w:rPr>
                </w:pPr>
                <w:proofErr w:type="gramStart"/>
                <w:r>
                  <w:rPr>
                    <w:rFonts w:cs="Arial"/>
                    <w:b/>
                    <w:bCs/>
                    <w:color w:val="FFFFFF"/>
                    <w:sz w:val="16"/>
                    <w:szCs w:val="16"/>
                  </w:rPr>
                  <w:t>888.666.9678</w:t>
                </w:r>
                <w:r w:rsidRPr="00977E83">
                  <w:rPr>
                    <w:rFonts w:cs="Arial"/>
                    <w:b/>
                    <w:bCs/>
                    <w:color w:val="FFFFFF"/>
                    <w:sz w:val="16"/>
                    <w:szCs w:val="16"/>
                  </w:rPr>
                  <w:t xml:space="preserve">  T</w:t>
                </w:r>
                <w:r>
                  <w:rPr>
                    <w:rFonts w:cs="Arial"/>
                    <w:b/>
                    <w:bCs/>
                    <w:color w:val="FFFFFF"/>
                    <w:sz w:val="16"/>
                    <w:szCs w:val="16"/>
                  </w:rPr>
                  <w:t>OLL</w:t>
                </w:r>
                <w:proofErr w:type="gramEnd"/>
                <w:r>
                  <w:rPr>
                    <w:rFonts w:cs="Arial"/>
                    <w:b/>
                    <w:bCs/>
                    <w:color w:val="FFFFFF"/>
                    <w:sz w:val="16"/>
                    <w:szCs w:val="16"/>
                  </w:rPr>
                  <w:t xml:space="preserve"> </w:t>
                </w:r>
                <w:smartTag w:uri="urn:schemas-microsoft-com:office:smarttags" w:element="stockticker">
                  <w:r>
                    <w:rPr>
                      <w:rFonts w:cs="Arial"/>
                      <w:b/>
                      <w:bCs/>
                      <w:color w:val="FFFFFF"/>
                      <w:sz w:val="16"/>
                      <w:szCs w:val="16"/>
                    </w:rPr>
                    <w:t>FREE</w:t>
                  </w:r>
                </w:smartTag>
                <w:r w:rsidRPr="00977E83">
                  <w:rPr>
                    <w:rFonts w:cs="Arial"/>
                    <w:b/>
                    <w:bCs/>
                    <w:color w:val="FFFFFF"/>
                    <w:sz w:val="16"/>
                    <w:szCs w:val="16"/>
                  </w:rPr>
                  <w:t xml:space="preserve">   &gt;   </w:t>
                </w:r>
                <w:smartTag w:uri="urn:schemas-microsoft-com:office:smarttags" w:element="phone">
                  <w:smartTagPr>
                    <w:attr w:uri="urn:schemas-microsoft-com:office:office" w:name="ls" w:val="trans"/>
                    <w:attr w:name="phonenumber" w:val="$6457$$$"/>
                  </w:smartTagPr>
                  <w:r w:rsidRPr="00977E83">
                    <w:rPr>
                      <w:rFonts w:cs="Arial"/>
                      <w:b/>
                      <w:bCs/>
                      <w:color w:val="FFFFFF"/>
                      <w:sz w:val="16"/>
                      <w:szCs w:val="16"/>
                    </w:rPr>
                    <w:t>760.457.2545</w:t>
                  </w:r>
                </w:smartTag>
                <w:r>
                  <w:rPr>
                    <w:rFonts w:cs="Arial"/>
                    <w:b/>
                    <w:bCs/>
                    <w:color w:val="FFFFFF"/>
                    <w:sz w:val="16"/>
                    <w:szCs w:val="16"/>
                  </w:rPr>
                  <w:t xml:space="preserve"> FAX</w:t>
                </w:r>
              </w:p>
              <w:p w:rsidR="000F79C6" w:rsidRPr="003B14D6" w:rsidRDefault="00F23AA9" w:rsidP="000F79C6">
                <w:pPr>
                  <w:jc w:val="center"/>
                  <w:rPr>
                    <w:rFonts w:cs="Arial"/>
                    <w:b/>
                    <w:bCs/>
                    <w:color w:val="FFFFFF"/>
                    <w:sz w:val="18"/>
                    <w:szCs w:val="18"/>
                  </w:rPr>
                </w:pPr>
                <w:hyperlink r:id="rId1" w:history="1">
                  <w:r w:rsidR="000F79C6" w:rsidRPr="003B14D6">
                    <w:rPr>
                      <w:rStyle w:val="Hyperlink"/>
                      <w:rFonts w:cs="Arial"/>
                      <w:b/>
                      <w:bCs/>
                      <w:color w:val="FFFFFF"/>
                      <w:sz w:val="18"/>
                      <w:szCs w:val="18"/>
                      <w:u w:val="none"/>
                    </w:rPr>
                    <w:t>www.HighlandGlobal.com</w:t>
                  </w:r>
                </w:hyperlink>
              </w:p>
              <w:p w:rsidR="000F79C6" w:rsidRPr="003B14D6" w:rsidRDefault="00F23AA9" w:rsidP="000F79C6">
                <w:pPr>
                  <w:jc w:val="center"/>
                  <w:rPr>
                    <w:rFonts w:cs="Arial"/>
                    <w:b/>
                    <w:bCs/>
                    <w:color w:val="FFFFFF"/>
                    <w:sz w:val="18"/>
                    <w:szCs w:val="18"/>
                  </w:rPr>
                </w:pPr>
                <w:hyperlink r:id="rId2" w:history="1">
                  <w:r w:rsidR="000F79C6" w:rsidRPr="003B14D6">
                    <w:rPr>
                      <w:rStyle w:val="Hyperlink"/>
                      <w:rFonts w:cs="Arial"/>
                      <w:b/>
                      <w:bCs/>
                      <w:color w:val="FFFFFF"/>
                      <w:sz w:val="18"/>
                      <w:szCs w:val="18"/>
                      <w:u w:val="none"/>
                    </w:rPr>
                    <w:t>corporate@HighlandGlobal.com</w:t>
                  </w:r>
                </w:hyperlink>
              </w:p>
              <w:p w:rsidR="003B14D6" w:rsidRPr="003B14D6" w:rsidRDefault="003B14D6" w:rsidP="003B14D6">
                <w:pPr>
                  <w:jc w:val="center"/>
                  <w:rPr>
                    <w:rFonts w:cs="Arial"/>
                    <w:b/>
                    <w:bCs/>
                    <w:color w:val="FFFFFF"/>
                    <w:sz w:val="18"/>
                    <w:szCs w:val="18"/>
                  </w:rPr>
                </w:pPr>
              </w:p>
              <w:p w:rsidR="003B14D6" w:rsidRPr="00077A78" w:rsidRDefault="003B14D6" w:rsidP="003B14D6">
                <w:pPr>
                  <w:jc w:val="center"/>
                  <w:rPr>
                    <w:rFonts w:cs="Arial"/>
                    <w:b/>
                    <w:bCs/>
                    <w:color w:val="FFFFFF"/>
                    <w:sz w:val="18"/>
                    <w:szCs w:val="18"/>
                  </w:rPr>
                </w:pPr>
              </w:p>
              <w:p w:rsidR="003B14D6" w:rsidRDefault="003B14D6" w:rsidP="003B14D6">
                <w:pPr>
                  <w:rPr>
                    <w:rFonts w:cs="Arial"/>
                    <w:b/>
                    <w:bCs/>
                    <w:color w:val="FFFFFF"/>
                    <w:sz w:val="16"/>
                    <w:szCs w:val="16"/>
                  </w:rPr>
                </w:pPr>
              </w:p>
              <w:p w:rsidR="003B14D6" w:rsidRDefault="003B14D6" w:rsidP="003B14D6">
                <w:pPr>
                  <w:rPr>
                    <w:rFonts w:cs="Arial"/>
                    <w:b/>
                    <w:bCs/>
                    <w:color w:val="FFFFFF"/>
                    <w:sz w:val="16"/>
                    <w:szCs w:val="16"/>
                  </w:rPr>
                </w:pPr>
              </w:p>
              <w:p w:rsidR="00977E83" w:rsidRDefault="00977E83" w:rsidP="00977E83"/>
              <w:p w:rsidR="00977E83" w:rsidRDefault="00977E83" w:rsidP="00977E83"/>
              <w:p w:rsidR="00977E83" w:rsidRDefault="00977E83" w:rsidP="00977E83"/>
              <w:p w:rsidR="00977E83" w:rsidRDefault="00977E83" w:rsidP="00977E83"/>
              <w:p w:rsidR="00977E83" w:rsidRDefault="00977E83" w:rsidP="00977E83"/>
              <w:p w:rsidR="00977E83" w:rsidRDefault="00977E83" w:rsidP="00977E83"/>
              <w:p w:rsidR="00977E83" w:rsidRDefault="00977E83" w:rsidP="00977E83"/>
            </w:txbxContent>
          </v:textbox>
        </v:shape>
      </w:pict>
    </w:r>
  </w:p>
  <w:p w:rsidR="00977E83" w:rsidRDefault="00977E83">
    <w:pPr>
      <w:pStyle w:val="Footer"/>
    </w:pPr>
  </w:p>
  <w:p w:rsidR="00977E83" w:rsidRDefault="00977E8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116A" w:rsidRDefault="0019116A" w:rsidP="008F13E0">
      <w:r>
        <w:separator/>
      </w:r>
    </w:p>
  </w:footnote>
  <w:footnote w:type="continuationSeparator" w:id="0">
    <w:p w:rsidR="0019116A" w:rsidRDefault="0019116A" w:rsidP="008F13E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79B6" w:rsidRDefault="00F23AA9">
    <w:pPr>
      <w:pStyle w:val="Header"/>
    </w:pPr>
    <w:r>
      <w:rPr>
        <w:noProof/>
      </w:rPr>
      <w:pict>
        <v:shapetype id="_x0000_t202" coordsize="21600,21600" o:spt="202" path="m,l,21600r21600,l21600,xe">
          <v:stroke joinstyle="miter"/>
          <v:path gradientshapeok="t" o:connecttype="rect"/>
        </v:shapetype>
        <v:shape id="_x0000_s2054" type="#_x0000_t202" style="position:absolute;left:0;text-align:left;margin-left:-90pt;margin-top:-36pt;width:621pt;height:117pt;z-index:251656704" fillcolor="black">
          <v:textbox style="mso-next-textbox:#_x0000_s2054">
            <w:txbxContent>
              <w:p w:rsidR="003B14D6" w:rsidRPr="002C79B6" w:rsidRDefault="004C2325" w:rsidP="003B14D6">
                <w:pPr>
                  <w:jc w:val="center"/>
                </w:pPr>
                <w:r>
                  <w:rPr>
                    <w:noProof/>
                  </w:rPr>
                  <w:drawing>
                    <wp:inline distT="0" distB="0" distL="0" distR="0">
                      <wp:extent cx="1584960" cy="1386840"/>
                      <wp:effectExtent l="1905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
                              <a:srcRect/>
                              <a:stretch>
                                <a:fillRect/>
                              </a:stretch>
                            </pic:blipFill>
                            <pic:spPr bwMode="auto">
                              <a:xfrm>
                                <a:off x="0" y="0"/>
                                <a:ext cx="1584960" cy="1386840"/>
                              </a:xfrm>
                              <a:prstGeom prst="rect">
                                <a:avLst/>
                              </a:prstGeom>
                              <a:noFill/>
                              <a:ln w="9525">
                                <a:noFill/>
                                <a:miter lim="800000"/>
                                <a:headEnd/>
                                <a:tailEnd/>
                              </a:ln>
                            </pic:spPr>
                          </pic:pic>
                        </a:graphicData>
                      </a:graphic>
                    </wp:inline>
                  </w:drawing>
                </w:r>
              </w:p>
            </w:txbxContent>
          </v:textbox>
        </v:shape>
      </w:pict>
    </w:r>
  </w:p>
  <w:p w:rsidR="00977E83" w:rsidRDefault="00F23AA9">
    <w:pPr>
      <w:pStyle w:val="Header"/>
    </w:pPr>
    <w:r>
      <w:rPr>
        <w:noProof/>
      </w:rPr>
      <w:pict>
        <v:shape id="_x0000_s2063" type="#_x0000_t202" style="position:absolute;left:0;text-align:left;margin-left:-1in;margin-top:2.9pt;width:189pt;height:63pt;z-index:251658752" fillcolor="black" stroked="f">
          <v:textbox style="mso-next-textbox:#_x0000_s2063">
            <w:txbxContent>
              <w:p w:rsidR="00DC501C" w:rsidRDefault="00DC501C">
                <w:pPr>
                  <w:rPr>
                    <w:color w:val="FFFFFF"/>
                  </w:rPr>
                </w:pPr>
                <w:r>
                  <w:rPr>
                    <w:color w:val="FFFFFF"/>
                  </w:rPr>
                  <w:t>Discount Statistics of Closed-End Funds</w:t>
                </w:r>
              </w:p>
              <w:p w:rsidR="00DC501C" w:rsidRDefault="00DC501C">
                <w:pPr>
                  <w:rPr>
                    <w:color w:val="FFFFFF"/>
                  </w:rPr>
                </w:pPr>
                <w:r>
                  <w:rPr>
                    <w:color w:val="FFFFFF"/>
                  </w:rPr>
                  <w:t xml:space="preserve">Update for the </w:t>
                </w:r>
                <w:r w:rsidR="001D3E7E">
                  <w:rPr>
                    <w:color w:val="FFFFFF"/>
                  </w:rPr>
                  <w:t>First</w:t>
                </w:r>
                <w:r w:rsidR="00B441D5">
                  <w:rPr>
                    <w:color w:val="FFFFFF"/>
                  </w:rPr>
                  <w:t xml:space="preserve"> </w:t>
                </w:r>
                <w:r>
                  <w:rPr>
                    <w:color w:val="FFFFFF"/>
                  </w:rPr>
                  <w:t>Quarter 20</w:t>
                </w:r>
                <w:r w:rsidR="000F79C6">
                  <w:rPr>
                    <w:color w:val="FFFFFF"/>
                  </w:rPr>
                  <w:t>1</w:t>
                </w:r>
                <w:r w:rsidR="001D3E7E">
                  <w:rPr>
                    <w:color w:val="FFFFFF"/>
                  </w:rPr>
                  <w:t>6</w:t>
                </w:r>
              </w:p>
              <w:p w:rsidR="00DC501C" w:rsidRDefault="001D3E7E">
                <w:pPr>
                  <w:rPr>
                    <w:color w:val="FFFFFF"/>
                  </w:rPr>
                </w:pPr>
                <w:r>
                  <w:rPr>
                    <w:color w:val="FFFFFF"/>
                  </w:rPr>
                  <w:t>April</w:t>
                </w:r>
                <w:r w:rsidR="00721D16">
                  <w:rPr>
                    <w:color w:val="FFFFFF"/>
                  </w:rPr>
                  <w:t xml:space="preserve"> 2016</w:t>
                </w:r>
              </w:p>
              <w:p w:rsidR="00DC501C" w:rsidRPr="00DC501C" w:rsidRDefault="00DC501C">
                <w:pPr>
                  <w:rPr>
                    <w:rFonts w:cs="Arial"/>
                    <w:color w:val="FFFFFF"/>
                  </w:rPr>
                </w:pPr>
                <w:r w:rsidRPr="00DC501C">
                  <w:rPr>
                    <w:rFonts w:cs="Arial"/>
                    <w:color w:val="FFFFFF"/>
                  </w:rPr>
                  <w:t xml:space="preserve">Page </w:t>
                </w:r>
                <w:r w:rsidR="00F23AA9" w:rsidRPr="00DC501C">
                  <w:rPr>
                    <w:rStyle w:val="PageNumber"/>
                    <w:rFonts w:cs="Arial"/>
                    <w:color w:val="FFFFFF"/>
                  </w:rPr>
                  <w:fldChar w:fldCharType="begin"/>
                </w:r>
                <w:r w:rsidRPr="00DC501C">
                  <w:rPr>
                    <w:rStyle w:val="PageNumber"/>
                    <w:rFonts w:cs="Arial"/>
                    <w:color w:val="FFFFFF"/>
                  </w:rPr>
                  <w:instrText xml:space="preserve"> PAGE </w:instrText>
                </w:r>
                <w:r w:rsidR="00F23AA9" w:rsidRPr="00DC501C">
                  <w:rPr>
                    <w:rStyle w:val="PageNumber"/>
                    <w:rFonts w:cs="Arial"/>
                    <w:color w:val="FFFFFF"/>
                  </w:rPr>
                  <w:fldChar w:fldCharType="separate"/>
                </w:r>
                <w:r w:rsidR="00935D1B">
                  <w:rPr>
                    <w:rStyle w:val="PageNumber"/>
                    <w:rFonts w:cs="Arial"/>
                    <w:noProof/>
                    <w:color w:val="FFFFFF"/>
                  </w:rPr>
                  <w:t>4</w:t>
                </w:r>
                <w:r w:rsidR="00F23AA9" w:rsidRPr="00DC501C">
                  <w:rPr>
                    <w:rStyle w:val="PageNumber"/>
                    <w:rFonts w:cs="Arial"/>
                    <w:color w:val="FFFFFF"/>
                  </w:rPr>
                  <w:fldChar w:fldCharType="end"/>
                </w:r>
              </w:p>
            </w:txbxContent>
          </v:textbox>
        </v:shape>
      </w:pict>
    </w:r>
  </w:p>
  <w:p w:rsidR="00977E83" w:rsidRDefault="00977E83">
    <w:pPr>
      <w:pStyle w:val="Header"/>
    </w:pPr>
  </w:p>
  <w:p w:rsidR="00977E83" w:rsidRDefault="00977E83">
    <w:pPr>
      <w:pStyle w:val="Header"/>
    </w:pPr>
  </w:p>
  <w:p w:rsidR="00977E83" w:rsidRDefault="00977E83">
    <w:pPr>
      <w:pStyle w:val="Header"/>
    </w:pPr>
  </w:p>
  <w:p w:rsidR="00977E83" w:rsidRDefault="00977E83">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noPunctuationKerning/>
  <w:characterSpacingControl w:val="doNotCompress"/>
  <w:hdrShapeDefaults>
    <o:shapedefaults v:ext="edit" spidmax="64514"/>
    <o:shapelayout v:ext="edit">
      <o:idmap v:ext="edit" data="2"/>
    </o:shapelayout>
  </w:hdrShapeDefaults>
  <w:footnotePr>
    <w:footnote w:id="-1"/>
    <w:footnote w:id="0"/>
  </w:footnotePr>
  <w:endnotePr>
    <w:endnote w:id="-1"/>
    <w:endnote w:id="0"/>
  </w:endnotePr>
  <w:compat/>
  <w:rsids>
    <w:rsidRoot w:val="001808A9"/>
    <w:rsid w:val="00003812"/>
    <w:rsid w:val="00010B81"/>
    <w:rsid w:val="00011AC4"/>
    <w:rsid w:val="00014D1F"/>
    <w:rsid w:val="0001511D"/>
    <w:rsid w:val="00015C2E"/>
    <w:rsid w:val="00017153"/>
    <w:rsid w:val="00022D5A"/>
    <w:rsid w:val="000266E6"/>
    <w:rsid w:val="00031810"/>
    <w:rsid w:val="0003608E"/>
    <w:rsid w:val="00051614"/>
    <w:rsid w:val="00052214"/>
    <w:rsid w:val="000561A9"/>
    <w:rsid w:val="00062074"/>
    <w:rsid w:val="000632BE"/>
    <w:rsid w:val="00074185"/>
    <w:rsid w:val="00074957"/>
    <w:rsid w:val="0007584C"/>
    <w:rsid w:val="000767CB"/>
    <w:rsid w:val="00077A78"/>
    <w:rsid w:val="000800B3"/>
    <w:rsid w:val="00080673"/>
    <w:rsid w:val="00095FBE"/>
    <w:rsid w:val="000964F2"/>
    <w:rsid w:val="000A4B87"/>
    <w:rsid w:val="000A6617"/>
    <w:rsid w:val="000B09CB"/>
    <w:rsid w:val="000B2717"/>
    <w:rsid w:val="000B319C"/>
    <w:rsid w:val="000B32AE"/>
    <w:rsid w:val="000B3666"/>
    <w:rsid w:val="000C0EDB"/>
    <w:rsid w:val="000C5F8A"/>
    <w:rsid w:val="000C7246"/>
    <w:rsid w:val="000C72D1"/>
    <w:rsid w:val="000C762C"/>
    <w:rsid w:val="000D6BC5"/>
    <w:rsid w:val="000E08FC"/>
    <w:rsid w:val="000E2079"/>
    <w:rsid w:val="000F0040"/>
    <w:rsid w:val="000F0788"/>
    <w:rsid w:val="000F5475"/>
    <w:rsid w:val="000F79C6"/>
    <w:rsid w:val="00100419"/>
    <w:rsid w:val="001023DF"/>
    <w:rsid w:val="00103ACB"/>
    <w:rsid w:val="00105E96"/>
    <w:rsid w:val="00106E55"/>
    <w:rsid w:val="0011201A"/>
    <w:rsid w:val="00112FF5"/>
    <w:rsid w:val="001132DA"/>
    <w:rsid w:val="00117827"/>
    <w:rsid w:val="0012468A"/>
    <w:rsid w:val="0013003F"/>
    <w:rsid w:val="00133BA8"/>
    <w:rsid w:val="00136910"/>
    <w:rsid w:val="00142331"/>
    <w:rsid w:val="00143CF9"/>
    <w:rsid w:val="00143D6D"/>
    <w:rsid w:val="00144F94"/>
    <w:rsid w:val="00150CA1"/>
    <w:rsid w:val="001562C4"/>
    <w:rsid w:val="00156F26"/>
    <w:rsid w:val="00161C5A"/>
    <w:rsid w:val="00165673"/>
    <w:rsid w:val="00166B4B"/>
    <w:rsid w:val="001747F7"/>
    <w:rsid w:val="0018051A"/>
    <w:rsid w:val="001808A9"/>
    <w:rsid w:val="00184C38"/>
    <w:rsid w:val="00185218"/>
    <w:rsid w:val="0019116A"/>
    <w:rsid w:val="00196C22"/>
    <w:rsid w:val="00197C0F"/>
    <w:rsid w:val="001A112C"/>
    <w:rsid w:val="001A2B6D"/>
    <w:rsid w:val="001A2DD5"/>
    <w:rsid w:val="001A48A4"/>
    <w:rsid w:val="001A7BCC"/>
    <w:rsid w:val="001B0484"/>
    <w:rsid w:val="001B371D"/>
    <w:rsid w:val="001B4ABD"/>
    <w:rsid w:val="001B6B16"/>
    <w:rsid w:val="001B6E08"/>
    <w:rsid w:val="001B7014"/>
    <w:rsid w:val="001C1068"/>
    <w:rsid w:val="001C6C1F"/>
    <w:rsid w:val="001D390B"/>
    <w:rsid w:val="001D3E7E"/>
    <w:rsid w:val="001D685F"/>
    <w:rsid w:val="001E05AA"/>
    <w:rsid w:val="001E174B"/>
    <w:rsid w:val="001E342A"/>
    <w:rsid w:val="001E36A3"/>
    <w:rsid w:val="001E4AEE"/>
    <w:rsid w:val="001E6573"/>
    <w:rsid w:val="001F3304"/>
    <w:rsid w:val="001F3606"/>
    <w:rsid w:val="001F7AB3"/>
    <w:rsid w:val="0020044A"/>
    <w:rsid w:val="002019E3"/>
    <w:rsid w:val="00205CA1"/>
    <w:rsid w:val="00210070"/>
    <w:rsid w:val="0021252B"/>
    <w:rsid w:val="00213C8E"/>
    <w:rsid w:val="002142FB"/>
    <w:rsid w:val="00217D6C"/>
    <w:rsid w:val="00223308"/>
    <w:rsid w:val="002237C6"/>
    <w:rsid w:val="00224AD5"/>
    <w:rsid w:val="002255CE"/>
    <w:rsid w:val="00225643"/>
    <w:rsid w:val="00227826"/>
    <w:rsid w:val="00227F3A"/>
    <w:rsid w:val="00240E0B"/>
    <w:rsid w:val="00242687"/>
    <w:rsid w:val="0024553E"/>
    <w:rsid w:val="002526E2"/>
    <w:rsid w:val="00257BBD"/>
    <w:rsid w:val="00257D89"/>
    <w:rsid w:val="00262BE9"/>
    <w:rsid w:val="0027186C"/>
    <w:rsid w:val="00276322"/>
    <w:rsid w:val="0027765F"/>
    <w:rsid w:val="00281536"/>
    <w:rsid w:val="00282EE6"/>
    <w:rsid w:val="002862DF"/>
    <w:rsid w:val="00295C54"/>
    <w:rsid w:val="00297495"/>
    <w:rsid w:val="002A7C66"/>
    <w:rsid w:val="002B0F99"/>
    <w:rsid w:val="002B2F5C"/>
    <w:rsid w:val="002B33B1"/>
    <w:rsid w:val="002B5E86"/>
    <w:rsid w:val="002B61D7"/>
    <w:rsid w:val="002C66DD"/>
    <w:rsid w:val="002C6A63"/>
    <w:rsid w:val="002C79B6"/>
    <w:rsid w:val="002D241E"/>
    <w:rsid w:val="002D2E97"/>
    <w:rsid w:val="002D551C"/>
    <w:rsid w:val="002E3F9F"/>
    <w:rsid w:val="002E45E5"/>
    <w:rsid w:val="002F0EF0"/>
    <w:rsid w:val="002F2DDB"/>
    <w:rsid w:val="002F40C5"/>
    <w:rsid w:val="002F41C2"/>
    <w:rsid w:val="002F61A6"/>
    <w:rsid w:val="00301F80"/>
    <w:rsid w:val="00302FB2"/>
    <w:rsid w:val="00306928"/>
    <w:rsid w:val="00313185"/>
    <w:rsid w:val="00314EAC"/>
    <w:rsid w:val="003178F5"/>
    <w:rsid w:val="00322DED"/>
    <w:rsid w:val="00323C3B"/>
    <w:rsid w:val="0032484C"/>
    <w:rsid w:val="003266D7"/>
    <w:rsid w:val="00327286"/>
    <w:rsid w:val="003332FD"/>
    <w:rsid w:val="0034042B"/>
    <w:rsid w:val="003447D4"/>
    <w:rsid w:val="00347F21"/>
    <w:rsid w:val="0035664D"/>
    <w:rsid w:val="00356B41"/>
    <w:rsid w:val="00357560"/>
    <w:rsid w:val="00357A15"/>
    <w:rsid w:val="00360B23"/>
    <w:rsid w:val="003633EA"/>
    <w:rsid w:val="00363B57"/>
    <w:rsid w:val="00365583"/>
    <w:rsid w:val="003673C4"/>
    <w:rsid w:val="00376D48"/>
    <w:rsid w:val="003832B0"/>
    <w:rsid w:val="0038359D"/>
    <w:rsid w:val="00383ECD"/>
    <w:rsid w:val="003847AE"/>
    <w:rsid w:val="00385BD4"/>
    <w:rsid w:val="0039436D"/>
    <w:rsid w:val="00394DAD"/>
    <w:rsid w:val="003B14D6"/>
    <w:rsid w:val="003B299C"/>
    <w:rsid w:val="003B2CA1"/>
    <w:rsid w:val="003B341B"/>
    <w:rsid w:val="003B75C8"/>
    <w:rsid w:val="003C3443"/>
    <w:rsid w:val="003C3820"/>
    <w:rsid w:val="003C6063"/>
    <w:rsid w:val="003C7ED8"/>
    <w:rsid w:val="003D0623"/>
    <w:rsid w:val="003D1A08"/>
    <w:rsid w:val="003D5049"/>
    <w:rsid w:val="003D6031"/>
    <w:rsid w:val="003E1635"/>
    <w:rsid w:val="003E419A"/>
    <w:rsid w:val="003E6144"/>
    <w:rsid w:val="003F15F5"/>
    <w:rsid w:val="003F293B"/>
    <w:rsid w:val="003F36D1"/>
    <w:rsid w:val="003F3BDA"/>
    <w:rsid w:val="003F5793"/>
    <w:rsid w:val="003F5B07"/>
    <w:rsid w:val="00403415"/>
    <w:rsid w:val="00405B57"/>
    <w:rsid w:val="00406D0E"/>
    <w:rsid w:val="00407BC0"/>
    <w:rsid w:val="0041381F"/>
    <w:rsid w:val="00413A6A"/>
    <w:rsid w:val="00423CCC"/>
    <w:rsid w:val="004255D0"/>
    <w:rsid w:val="00434266"/>
    <w:rsid w:val="00435878"/>
    <w:rsid w:val="00435FD3"/>
    <w:rsid w:val="004410A6"/>
    <w:rsid w:val="004449DC"/>
    <w:rsid w:val="00446423"/>
    <w:rsid w:val="004477CB"/>
    <w:rsid w:val="004547D8"/>
    <w:rsid w:val="004561E4"/>
    <w:rsid w:val="00465D52"/>
    <w:rsid w:val="0047186A"/>
    <w:rsid w:val="00471C38"/>
    <w:rsid w:val="004813DC"/>
    <w:rsid w:val="00486743"/>
    <w:rsid w:val="00491BB2"/>
    <w:rsid w:val="0049276A"/>
    <w:rsid w:val="00493CD3"/>
    <w:rsid w:val="004A0080"/>
    <w:rsid w:val="004A5942"/>
    <w:rsid w:val="004A7B08"/>
    <w:rsid w:val="004B1757"/>
    <w:rsid w:val="004B3217"/>
    <w:rsid w:val="004B47CA"/>
    <w:rsid w:val="004B6FE9"/>
    <w:rsid w:val="004C2325"/>
    <w:rsid w:val="004D0E0E"/>
    <w:rsid w:val="004D5879"/>
    <w:rsid w:val="004D5981"/>
    <w:rsid w:val="004E1469"/>
    <w:rsid w:val="004E3126"/>
    <w:rsid w:val="004E426B"/>
    <w:rsid w:val="004E54AF"/>
    <w:rsid w:val="004F0E7C"/>
    <w:rsid w:val="004F5BE1"/>
    <w:rsid w:val="004F6D53"/>
    <w:rsid w:val="004F7DE3"/>
    <w:rsid w:val="005013AA"/>
    <w:rsid w:val="00504CB3"/>
    <w:rsid w:val="00505C57"/>
    <w:rsid w:val="00506092"/>
    <w:rsid w:val="00511A21"/>
    <w:rsid w:val="005136F7"/>
    <w:rsid w:val="00515FAA"/>
    <w:rsid w:val="00521B59"/>
    <w:rsid w:val="00521DC0"/>
    <w:rsid w:val="00522423"/>
    <w:rsid w:val="0052274F"/>
    <w:rsid w:val="005335B5"/>
    <w:rsid w:val="00535C68"/>
    <w:rsid w:val="00537396"/>
    <w:rsid w:val="0054196A"/>
    <w:rsid w:val="00543F45"/>
    <w:rsid w:val="00544555"/>
    <w:rsid w:val="00545256"/>
    <w:rsid w:val="00552E50"/>
    <w:rsid w:val="005537E2"/>
    <w:rsid w:val="00556590"/>
    <w:rsid w:val="00557199"/>
    <w:rsid w:val="0056561A"/>
    <w:rsid w:val="005661F1"/>
    <w:rsid w:val="005672BB"/>
    <w:rsid w:val="00571416"/>
    <w:rsid w:val="0057579B"/>
    <w:rsid w:val="0057706F"/>
    <w:rsid w:val="005776EA"/>
    <w:rsid w:val="005823B1"/>
    <w:rsid w:val="005845BB"/>
    <w:rsid w:val="0059452A"/>
    <w:rsid w:val="00594DBA"/>
    <w:rsid w:val="00596131"/>
    <w:rsid w:val="005969B2"/>
    <w:rsid w:val="005A18B2"/>
    <w:rsid w:val="005A7A91"/>
    <w:rsid w:val="005B2F05"/>
    <w:rsid w:val="005B340E"/>
    <w:rsid w:val="005B6A1A"/>
    <w:rsid w:val="005C04D7"/>
    <w:rsid w:val="005C3089"/>
    <w:rsid w:val="005D1549"/>
    <w:rsid w:val="005D28B3"/>
    <w:rsid w:val="005D323F"/>
    <w:rsid w:val="005D4D66"/>
    <w:rsid w:val="005D4FC9"/>
    <w:rsid w:val="005E275E"/>
    <w:rsid w:val="005E419C"/>
    <w:rsid w:val="005E45AD"/>
    <w:rsid w:val="005E74B4"/>
    <w:rsid w:val="005F5E08"/>
    <w:rsid w:val="005F78F9"/>
    <w:rsid w:val="005F7EBD"/>
    <w:rsid w:val="00603E29"/>
    <w:rsid w:val="00604215"/>
    <w:rsid w:val="00605D31"/>
    <w:rsid w:val="006066F0"/>
    <w:rsid w:val="00615038"/>
    <w:rsid w:val="00615D6F"/>
    <w:rsid w:val="00626379"/>
    <w:rsid w:val="006317FF"/>
    <w:rsid w:val="00632B11"/>
    <w:rsid w:val="0065251B"/>
    <w:rsid w:val="00653C8A"/>
    <w:rsid w:val="00654CA4"/>
    <w:rsid w:val="00655A9A"/>
    <w:rsid w:val="00655BC3"/>
    <w:rsid w:val="0065660E"/>
    <w:rsid w:val="006653E1"/>
    <w:rsid w:val="00676C24"/>
    <w:rsid w:val="00680DAC"/>
    <w:rsid w:val="0068366C"/>
    <w:rsid w:val="00683BE4"/>
    <w:rsid w:val="0068525D"/>
    <w:rsid w:val="00690CBC"/>
    <w:rsid w:val="0069464A"/>
    <w:rsid w:val="006965AF"/>
    <w:rsid w:val="00697042"/>
    <w:rsid w:val="006A7BD9"/>
    <w:rsid w:val="006B166D"/>
    <w:rsid w:val="006B3254"/>
    <w:rsid w:val="006B774B"/>
    <w:rsid w:val="006C2E1D"/>
    <w:rsid w:val="006C671A"/>
    <w:rsid w:val="006C73C1"/>
    <w:rsid w:val="006C7D5E"/>
    <w:rsid w:val="006D26A7"/>
    <w:rsid w:val="006E13FF"/>
    <w:rsid w:val="006E29D7"/>
    <w:rsid w:val="006E2C5F"/>
    <w:rsid w:val="006E64C1"/>
    <w:rsid w:val="006E76B2"/>
    <w:rsid w:val="006F2945"/>
    <w:rsid w:val="006F530F"/>
    <w:rsid w:val="007008F4"/>
    <w:rsid w:val="0070233C"/>
    <w:rsid w:val="007064AF"/>
    <w:rsid w:val="007134FC"/>
    <w:rsid w:val="0071524F"/>
    <w:rsid w:val="00721D16"/>
    <w:rsid w:val="00731255"/>
    <w:rsid w:val="00733A65"/>
    <w:rsid w:val="00733AE1"/>
    <w:rsid w:val="00736E68"/>
    <w:rsid w:val="00737B95"/>
    <w:rsid w:val="00737F1D"/>
    <w:rsid w:val="00737F70"/>
    <w:rsid w:val="0074032A"/>
    <w:rsid w:val="00746271"/>
    <w:rsid w:val="0074693F"/>
    <w:rsid w:val="00747753"/>
    <w:rsid w:val="007513E6"/>
    <w:rsid w:val="00756F83"/>
    <w:rsid w:val="0076338A"/>
    <w:rsid w:val="00767533"/>
    <w:rsid w:val="00775BA2"/>
    <w:rsid w:val="00776DEE"/>
    <w:rsid w:val="007909B0"/>
    <w:rsid w:val="0079200B"/>
    <w:rsid w:val="00796287"/>
    <w:rsid w:val="00796B5F"/>
    <w:rsid w:val="007A3C36"/>
    <w:rsid w:val="007B3FB8"/>
    <w:rsid w:val="007C1AD2"/>
    <w:rsid w:val="007C24C7"/>
    <w:rsid w:val="007C3DB5"/>
    <w:rsid w:val="007C6C64"/>
    <w:rsid w:val="007D3393"/>
    <w:rsid w:val="007D64BC"/>
    <w:rsid w:val="007D7CE8"/>
    <w:rsid w:val="007D7FD1"/>
    <w:rsid w:val="007E2A12"/>
    <w:rsid w:val="007E4C9C"/>
    <w:rsid w:val="007F0DDE"/>
    <w:rsid w:val="007F38DE"/>
    <w:rsid w:val="007F5517"/>
    <w:rsid w:val="007F61DC"/>
    <w:rsid w:val="008017CA"/>
    <w:rsid w:val="00801ED2"/>
    <w:rsid w:val="00803BCC"/>
    <w:rsid w:val="00804248"/>
    <w:rsid w:val="008051F9"/>
    <w:rsid w:val="00805D54"/>
    <w:rsid w:val="00805DE9"/>
    <w:rsid w:val="008164B4"/>
    <w:rsid w:val="00824298"/>
    <w:rsid w:val="00825BDA"/>
    <w:rsid w:val="00826279"/>
    <w:rsid w:val="00827D1F"/>
    <w:rsid w:val="00836A39"/>
    <w:rsid w:val="00836BA8"/>
    <w:rsid w:val="00842635"/>
    <w:rsid w:val="00843845"/>
    <w:rsid w:val="0085049D"/>
    <w:rsid w:val="00851196"/>
    <w:rsid w:val="00851464"/>
    <w:rsid w:val="008516E5"/>
    <w:rsid w:val="00853C2E"/>
    <w:rsid w:val="00854035"/>
    <w:rsid w:val="008544DD"/>
    <w:rsid w:val="00855030"/>
    <w:rsid w:val="00856B92"/>
    <w:rsid w:val="0086403B"/>
    <w:rsid w:val="00866DF3"/>
    <w:rsid w:val="008676E3"/>
    <w:rsid w:val="0087730C"/>
    <w:rsid w:val="00885BE2"/>
    <w:rsid w:val="00890699"/>
    <w:rsid w:val="00894627"/>
    <w:rsid w:val="008958B1"/>
    <w:rsid w:val="008A3F16"/>
    <w:rsid w:val="008A5155"/>
    <w:rsid w:val="008A6A53"/>
    <w:rsid w:val="008B0690"/>
    <w:rsid w:val="008B0973"/>
    <w:rsid w:val="008B0E99"/>
    <w:rsid w:val="008B1B67"/>
    <w:rsid w:val="008C63DB"/>
    <w:rsid w:val="008C7AA8"/>
    <w:rsid w:val="008D1E9D"/>
    <w:rsid w:val="008D3195"/>
    <w:rsid w:val="008D448A"/>
    <w:rsid w:val="008E5463"/>
    <w:rsid w:val="008E72BF"/>
    <w:rsid w:val="008E77C8"/>
    <w:rsid w:val="008F312A"/>
    <w:rsid w:val="008F3426"/>
    <w:rsid w:val="00901F3E"/>
    <w:rsid w:val="00903D29"/>
    <w:rsid w:val="009054D7"/>
    <w:rsid w:val="00913DF5"/>
    <w:rsid w:val="0091479C"/>
    <w:rsid w:val="00922F3C"/>
    <w:rsid w:val="00927177"/>
    <w:rsid w:val="009308F7"/>
    <w:rsid w:val="009342C6"/>
    <w:rsid w:val="00935D1B"/>
    <w:rsid w:val="009372BF"/>
    <w:rsid w:val="00940328"/>
    <w:rsid w:val="00945F97"/>
    <w:rsid w:val="00951352"/>
    <w:rsid w:val="00953C86"/>
    <w:rsid w:val="00957E0C"/>
    <w:rsid w:val="0096349F"/>
    <w:rsid w:val="00970694"/>
    <w:rsid w:val="00976096"/>
    <w:rsid w:val="009761DA"/>
    <w:rsid w:val="00977E83"/>
    <w:rsid w:val="009806B4"/>
    <w:rsid w:val="009820B2"/>
    <w:rsid w:val="00987D01"/>
    <w:rsid w:val="00995BFB"/>
    <w:rsid w:val="009A2CA9"/>
    <w:rsid w:val="009B38BE"/>
    <w:rsid w:val="009B522B"/>
    <w:rsid w:val="009B6877"/>
    <w:rsid w:val="009C1C3D"/>
    <w:rsid w:val="009C7D56"/>
    <w:rsid w:val="009D0C3C"/>
    <w:rsid w:val="009D10E1"/>
    <w:rsid w:val="009D2BC1"/>
    <w:rsid w:val="009D3B9A"/>
    <w:rsid w:val="009D58D9"/>
    <w:rsid w:val="009D701B"/>
    <w:rsid w:val="009F1468"/>
    <w:rsid w:val="009F2D97"/>
    <w:rsid w:val="009F57B8"/>
    <w:rsid w:val="00A042BA"/>
    <w:rsid w:val="00A06111"/>
    <w:rsid w:val="00A067FE"/>
    <w:rsid w:val="00A072F3"/>
    <w:rsid w:val="00A122D2"/>
    <w:rsid w:val="00A1249E"/>
    <w:rsid w:val="00A13666"/>
    <w:rsid w:val="00A16078"/>
    <w:rsid w:val="00A17D20"/>
    <w:rsid w:val="00A224B2"/>
    <w:rsid w:val="00A25E9E"/>
    <w:rsid w:val="00A32B7F"/>
    <w:rsid w:val="00A34DF1"/>
    <w:rsid w:val="00A40CD1"/>
    <w:rsid w:val="00A411FD"/>
    <w:rsid w:val="00A47687"/>
    <w:rsid w:val="00A47A8C"/>
    <w:rsid w:val="00A503A4"/>
    <w:rsid w:val="00A55A37"/>
    <w:rsid w:val="00A57F76"/>
    <w:rsid w:val="00A653CA"/>
    <w:rsid w:val="00A658B9"/>
    <w:rsid w:val="00A85DF2"/>
    <w:rsid w:val="00A867CB"/>
    <w:rsid w:val="00A874C8"/>
    <w:rsid w:val="00A94137"/>
    <w:rsid w:val="00AA0E51"/>
    <w:rsid w:val="00AA5E7E"/>
    <w:rsid w:val="00AA7468"/>
    <w:rsid w:val="00AB0941"/>
    <w:rsid w:val="00AB1078"/>
    <w:rsid w:val="00AC3616"/>
    <w:rsid w:val="00AC49BD"/>
    <w:rsid w:val="00AC6ED5"/>
    <w:rsid w:val="00AE19EB"/>
    <w:rsid w:val="00AE403A"/>
    <w:rsid w:val="00AE7ABC"/>
    <w:rsid w:val="00AF0CB4"/>
    <w:rsid w:val="00AF454A"/>
    <w:rsid w:val="00AF4A8C"/>
    <w:rsid w:val="00AF6933"/>
    <w:rsid w:val="00B01397"/>
    <w:rsid w:val="00B028C3"/>
    <w:rsid w:val="00B04347"/>
    <w:rsid w:val="00B07F88"/>
    <w:rsid w:val="00B100A0"/>
    <w:rsid w:val="00B1466C"/>
    <w:rsid w:val="00B157E7"/>
    <w:rsid w:val="00B20C07"/>
    <w:rsid w:val="00B20CBF"/>
    <w:rsid w:val="00B217E0"/>
    <w:rsid w:val="00B308CB"/>
    <w:rsid w:val="00B4066B"/>
    <w:rsid w:val="00B40D66"/>
    <w:rsid w:val="00B441D5"/>
    <w:rsid w:val="00B445F3"/>
    <w:rsid w:val="00B4645F"/>
    <w:rsid w:val="00B46665"/>
    <w:rsid w:val="00B507C4"/>
    <w:rsid w:val="00B50B01"/>
    <w:rsid w:val="00B50EE6"/>
    <w:rsid w:val="00B55FEF"/>
    <w:rsid w:val="00B57E21"/>
    <w:rsid w:val="00B620F8"/>
    <w:rsid w:val="00B63DD0"/>
    <w:rsid w:val="00B73688"/>
    <w:rsid w:val="00B73D6F"/>
    <w:rsid w:val="00B813D6"/>
    <w:rsid w:val="00B81AFA"/>
    <w:rsid w:val="00B83BD1"/>
    <w:rsid w:val="00B93362"/>
    <w:rsid w:val="00B94C64"/>
    <w:rsid w:val="00B94C81"/>
    <w:rsid w:val="00BB1EA6"/>
    <w:rsid w:val="00BB2FCA"/>
    <w:rsid w:val="00BB45D9"/>
    <w:rsid w:val="00BB5E93"/>
    <w:rsid w:val="00BC3DDF"/>
    <w:rsid w:val="00BC56EE"/>
    <w:rsid w:val="00BD1321"/>
    <w:rsid w:val="00BD7CC8"/>
    <w:rsid w:val="00BE04A2"/>
    <w:rsid w:val="00BE04A6"/>
    <w:rsid w:val="00BE5892"/>
    <w:rsid w:val="00BE5C73"/>
    <w:rsid w:val="00BE60DA"/>
    <w:rsid w:val="00BE731D"/>
    <w:rsid w:val="00BF421C"/>
    <w:rsid w:val="00BF5505"/>
    <w:rsid w:val="00BF68DB"/>
    <w:rsid w:val="00BF7291"/>
    <w:rsid w:val="00C004C8"/>
    <w:rsid w:val="00C0552B"/>
    <w:rsid w:val="00C06EBE"/>
    <w:rsid w:val="00C225A9"/>
    <w:rsid w:val="00C27A72"/>
    <w:rsid w:val="00C31679"/>
    <w:rsid w:val="00C35BED"/>
    <w:rsid w:val="00C433BC"/>
    <w:rsid w:val="00C4362B"/>
    <w:rsid w:val="00C43910"/>
    <w:rsid w:val="00C43DED"/>
    <w:rsid w:val="00C4597E"/>
    <w:rsid w:val="00C475B1"/>
    <w:rsid w:val="00C50C13"/>
    <w:rsid w:val="00C52000"/>
    <w:rsid w:val="00C53854"/>
    <w:rsid w:val="00C56890"/>
    <w:rsid w:val="00C61C01"/>
    <w:rsid w:val="00C627F8"/>
    <w:rsid w:val="00C63696"/>
    <w:rsid w:val="00C645CE"/>
    <w:rsid w:val="00C65044"/>
    <w:rsid w:val="00C679F8"/>
    <w:rsid w:val="00C7040A"/>
    <w:rsid w:val="00C72655"/>
    <w:rsid w:val="00C7437C"/>
    <w:rsid w:val="00C7542C"/>
    <w:rsid w:val="00C76E02"/>
    <w:rsid w:val="00C81C27"/>
    <w:rsid w:val="00C961E2"/>
    <w:rsid w:val="00CA0574"/>
    <w:rsid w:val="00CA444A"/>
    <w:rsid w:val="00CB2124"/>
    <w:rsid w:val="00CB345D"/>
    <w:rsid w:val="00CD050C"/>
    <w:rsid w:val="00CD0819"/>
    <w:rsid w:val="00CD159E"/>
    <w:rsid w:val="00CD577B"/>
    <w:rsid w:val="00CE65C1"/>
    <w:rsid w:val="00CE734B"/>
    <w:rsid w:val="00CE775E"/>
    <w:rsid w:val="00CF1531"/>
    <w:rsid w:val="00D03A70"/>
    <w:rsid w:val="00D0441C"/>
    <w:rsid w:val="00D10EED"/>
    <w:rsid w:val="00D16FF8"/>
    <w:rsid w:val="00D20BDB"/>
    <w:rsid w:val="00D23000"/>
    <w:rsid w:val="00D2465E"/>
    <w:rsid w:val="00D305E7"/>
    <w:rsid w:val="00D32F06"/>
    <w:rsid w:val="00D524B7"/>
    <w:rsid w:val="00D55D7E"/>
    <w:rsid w:val="00D57717"/>
    <w:rsid w:val="00D61C95"/>
    <w:rsid w:val="00D66691"/>
    <w:rsid w:val="00D72F24"/>
    <w:rsid w:val="00D80245"/>
    <w:rsid w:val="00D81986"/>
    <w:rsid w:val="00D84283"/>
    <w:rsid w:val="00D863C5"/>
    <w:rsid w:val="00D9061D"/>
    <w:rsid w:val="00D93161"/>
    <w:rsid w:val="00D93D32"/>
    <w:rsid w:val="00D93EAC"/>
    <w:rsid w:val="00DC501C"/>
    <w:rsid w:val="00DD3AC6"/>
    <w:rsid w:val="00DD70E9"/>
    <w:rsid w:val="00DF22FC"/>
    <w:rsid w:val="00DF2AB6"/>
    <w:rsid w:val="00DF3713"/>
    <w:rsid w:val="00E0058F"/>
    <w:rsid w:val="00E01336"/>
    <w:rsid w:val="00E03793"/>
    <w:rsid w:val="00E119E6"/>
    <w:rsid w:val="00E12179"/>
    <w:rsid w:val="00E26167"/>
    <w:rsid w:val="00E327FD"/>
    <w:rsid w:val="00E34298"/>
    <w:rsid w:val="00E344AF"/>
    <w:rsid w:val="00E3482D"/>
    <w:rsid w:val="00E35419"/>
    <w:rsid w:val="00E40963"/>
    <w:rsid w:val="00E429A3"/>
    <w:rsid w:val="00E4300E"/>
    <w:rsid w:val="00E441B2"/>
    <w:rsid w:val="00E44773"/>
    <w:rsid w:val="00E50897"/>
    <w:rsid w:val="00E51808"/>
    <w:rsid w:val="00E51A11"/>
    <w:rsid w:val="00E51C89"/>
    <w:rsid w:val="00E537DD"/>
    <w:rsid w:val="00E61F5E"/>
    <w:rsid w:val="00E626EF"/>
    <w:rsid w:val="00E63067"/>
    <w:rsid w:val="00E64D97"/>
    <w:rsid w:val="00E65815"/>
    <w:rsid w:val="00E67BAA"/>
    <w:rsid w:val="00E703C3"/>
    <w:rsid w:val="00E72635"/>
    <w:rsid w:val="00E72EA7"/>
    <w:rsid w:val="00E752E0"/>
    <w:rsid w:val="00E80E1E"/>
    <w:rsid w:val="00E818F7"/>
    <w:rsid w:val="00E826A7"/>
    <w:rsid w:val="00E85F27"/>
    <w:rsid w:val="00E92922"/>
    <w:rsid w:val="00E92BF5"/>
    <w:rsid w:val="00E949E7"/>
    <w:rsid w:val="00E95A27"/>
    <w:rsid w:val="00E96C84"/>
    <w:rsid w:val="00EA01D4"/>
    <w:rsid w:val="00EA05D0"/>
    <w:rsid w:val="00EA0AD8"/>
    <w:rsid w:val="00EA13EC"/>
    <w:rsid w:val="00EA207A"/>
    <w:rsid w:val="00EA4304"/>
    <w:rsid w:val="00EA5D40"/>
    <w:rsid w:val="00EB005F"/>
    <w:rsid w:val="00EB59EB"/>
    <w:rsid w:val="00EB6215"/>
    <w:rsid w:val="00EC1639"/>
    <w:rsid w:val="00EC1827"/>
    <w:rsid w:val="00EC57B3"/>
    <w:rsid w:val="00EC61AB"/>
    <w:rsid w:val="00EC6207"/>
    <w:rsid w:val="00EC6904"/>
    <w:rsid w:val="00ED1793"/>
    <w:rsid w:val="00ED5023"/>
    <w:rsid w:val="00ED5A10"/>
    <w:rsid w:val="00EE005C"/>
    <w:rsid w:val="00EE2296"/>
    <w:rsid w:val="00EE3C3A"/>
    <w:rsid w:val="00EE40A6"/>
    <w:rsid w:val="00EE6770"/>
    <w:rsid w:val="00EE6A66"/>
    <w:rsid w:val="00EF0DAD"/>
    <w:rsid w:val="00EF3F63"/>
    <w:rsid w:val="00F050B6"/>
    <w:rsid w:val="00F0638B"/>
    <w:rsid w:val="00F14C6E"/>
    <w:rsid w:val="00F15727"/>
    <w:rsid w:val="00F22F36"/>
    <w:rsid w:val="00F23AA9"/>
    <w:rsid w:val="00F2775D"/>
    <w:rsid w:val="00F33014"/>
    <w:rsid w:val="00F348FC"/>
    <w:rsid w:val="00F35936"/>
    <w:rsid w:val="00F4239E"/>
    <w:rsid w:val="00F444DF"/>
    <w:rsid w:val="00F46777"/>
    <w:rsid w:val="00F52071"/>
    <w:rsid w:val="00F54FDC"/>
    <w:rsid w:val="00F611BE"/>
    <w:rsid w:val="00F638F2"/>
    <w:rsid w:val="00F63DB3"/>
    <w:rsid w:val="00F65B75"/>
    <w:rsid w:val="00F67A6F"/>
    <w:rsid w:val="00F701F7"/>
    <w:rsid w:val="00F722A1"/>
    <w:rsid w:val="00F743CC"/>
    <w:rsid w:val="00F75B40"/>
    <w:rsid w:val="00F76086"/>
    <w:rsid w:val="00F80592"/>
    <w:rsid w:val="00F83BE9"/>
    <w:rsid w:val="00F85687"/>
    <w:rsid w:val="00F90793"/>
    <w:rsid w:val="00F9185A"/>
    <w:rsid w:val="00F94742"/>
    <w:rsid w:val="00F969F5"/>
    <w:rsid w:val="00FA00F3"/>
    <w:rsid w:val="00FA6FCD"/>
    <w:rsid w:val="00FA7150"/>
    <w:rsid w:val="00FB160E"/>
    <w:rsid w:val="00FB3314"/>
    <w:rsid w:val="00FB4A60"/>
    <w:rsid w:val="00FB68BD"/>
    <w:rsid w:val="00FC0878"/>
    <w:rsid w:val="00FC4873"/>
    <w:rsid w:val="00FD499B"/>
    <w:rsid w:val="00FE1C78"/>
    <w:rsid w:val="00FE31D9"/>
    <w:rsid w:val="00FE4F55"/>
    <w:rsid w:val="00FF0510"/>
    <w:rsid w:val="00FF7553"/>
    <w:rsid w:val="00FF7E2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place"/>
  <w:smartTagType w:namespaceuri="urn:schemas-microsoft-com:office:smarttags" w:name="phone"/>
  <w:smartTagType w:namespaceuri="urn:schemas-microsoft-com:office:smarttags" w:name="stockticker"/>
  <w:shapeDefaults>
    <o:shapedefaults v:ext="edit" spidmax="645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693F"/>
    <w:pPr>
      <w:jc w:val="both"/>
    </w:pPr>
    <w:rPr>
      <w:rFonts w:ascii="Arial" w:hAnsi="Arial"/>
      <w:spacing w:val="-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77E83"/>
    <w:pPr>
      <w:tabs>
        <w:tab w:val="center" w:pos="4320"/>
        <w:tab w:val="right" w:pos="8640"/>
      </w:tabs>
    </w:pPr>
  </w:style>
  <w:style w:type="paragraph" w:styleId="Footer">
    <w:name w:val="footer"/>
    <w:basedOn w:val="Normal"/>
    <w:rsid w:val="00977E83"/>
    <w:pPr>
      <w:tabs>
        <w:tab w:val="center" w:pos="4320"/>
        <w:tab w:val="right" w:pos="8640"/>
      </w:tabs>
    </w:pPr>
  </w:style>
  <w:style w:type="character" w:styleId="Hyperlink">
    <w:name w:val="Hyperlink"/>
    <w:basedOn w:val="DefaultParagraphFont"/>
    <w:rsid w:val="003B14D6"/>
    <w:rPr>
      <w:color w:val="0000FF"/>
      <w:u w:val="single"/>
    </w:rPr>
  </w:style>
  <w:style w:type="character" w:styleId="Emphasis">
    <w:name w:val="Emphasis"/>
    <w:qFormat/>
    <w:rsid w:val="0074693F"/>
    <w:rPr>
      <w:rFonts w:ascii="Arial Black" w:hAnsi="Arial Black"/>
      <w:sz w:val="18"/>
    </w:rPr>
  </w:style>
  <w:style w:type="character" w:styleId="PageNumber">
    <w:name w:val="page number"/>
    <w:basedOn w:val="DefaultParagraphFont"/>
    <w:rsid w:val="00DC501C"/>
  </w:style>
  <w:style w:type="paragraph" w:styleId="BalloonText">
    <w:name w:val="Balloon Text"/>
    <w:basedOn w:val="Normal"/>
    <w:link w:val="BalloonTextChar"/>
    <w:uiPriority w:val="99"/>
    <w:semiHidden/>
    <w:unhideWhenUsed/>
    <w:rsid w:val="00B20CBF"/>
    <w:rPr>
      <w:rFonts w:ascii="Tahoma" w:hAnsi="Tahoma" w:cs="Tahoma"/>
      <w:sz w:val="16"/>
      <w:szCs w:val="16"/>
    </w:rPr>
  </w:style>
  <w:style w:type="character" w:customStyle="1" w:styleId="BalloonTextChar">
    <w:name w:val="Balloon Text Char"/>
    <w:basedOn w:val="DefaultParagraphFont"/>
    <w:link w:val="BalloonText"/>
    <w:uiPriority w:val="99"/>
    <w:semiHidden/>
    <w:rsid w:val="00B20CBF"/>
    <w:rPr>
      <w:rFonts w:ascii="Tahoma" w:hAnsi="Tahoma" w:cs="Tahoma"/>
      <w:spacing w:val="-5"/>
      <w:sz w:val="16"/>
      <w:szCs w:val="16"/>
    </w:rPr>
  </w:style>
  <w:style w:type="character" w:customStyle="1" w:styleId="RWCommand">
    <w:name w:val="RWCommand"/>
    <w:basedOn w:val="DefaultParagraphFont"/>
    <w:rsid w:val="00EE40A6"/>
    <w:rPr>
      <w:rFonts w:ascii="Tahoma" w:hAnsi="Tahoma"/>
      <w:b w:val="0"/>
      <w:vanish/>
      <w:color w:val="0000FF"/>
      <w:sz w:val="20"/>
      <w:u w:val="none"/>
    </w:rPr>
  </w:style>
</w:styles>
</file>

<file path=word/webSettings.xml><?xml version="1.0" encoding="utf-8"?>
<w:webSettings xmlns:r="http://schemas.openxmlformats.org/officeDocument/2006/relationships" xmlns:w="http://schemas.openxmlformats.org/wordprocessingml/2006/main">
  <w:divs>
    <w:div w:id="49422072">
      <w:bodyDiv w:val="1"/>
      <w:marLeft w:val="0"/>
      <w:marRight w:val="0"/>
      <w:marTop w:val="0"/>
      <w:marBottom w:val="0"/>
      <w:divBdr>
        <w:top w:val="none" w:sz="0" w:space="0" w:color="auto"/>
        <w:left w:val="none" w:sz="0" w:space="0" w:color="auto"/>
        <w:bottom w:val="none" w:sz="0" w:space="0" w:color="auto"/>
        <w:right w:val="none" w:sz="0" w:space="0" w:color="auto"/>
      </w:divBdr>
    </w:div>
    <w:div w:id="68504195">
      <w:bodyDiv w:val="1"/>
      <w:marLeft w:val="0"/>
      <w:marRight w:val="0"/>
      <w:marTop w:val="0"/>
      <w:marBottom w:val="0"/>
      <w:divBdr>
        <w:top w:val="none" w:sz="0" w:space="0" w:color="auto"/>
        <w:left w:val="none" w:sz="0" w:space="0" w:color="auto"/>
        <w:bottom w:val="none" w:sz="0" w:space="0" w:color="auto"/>
        <w:right w:val="none" w:sz="0" w:space="0" w:color="auto"/>
      </w:divBdr>
    </w:div>
    <w:div w:id="80764247">
      <w:bodyDiv w:val="1"/>
      <w:marLeft w:val="0"/>
      <w:marRight w:val="0"/>
      <w:marTop w:val="0"/>
      <w:marBottom w:val="0"/>
      <w:divBdr>
        <w:top w:val="none" w:sz="0" w:space="0" w:color="auto"/>
        <w:left w:val="none" w:sz="0" w:space="0" w:color="auto"/>
        <w:bottom w:val="none" w:sz="0" w:space="0" w:color="auto"/>
        <w:right w:val="none" w:sz="0" w:space="0" w:color="auto"/>
      </w:divBdr>
    </w:div>
    <w:div w:id="218366438">
      <w:bodyDiv w:val="1"/>
      <w:marLeft w:val="0"/>
      <w:marRight w:val="0"/>
      <w:marTop w:val="0"/>
      <w:marBottom w:val="0"/>
      <w:divBdr>
        <w:top w:val="none" w:sz="0" w:space="0" w:color="auto"/>
        <w:left w:val="none" w:sz="0" w:space="0" w:color="auto"/>
        <w:bottom w:val="none" w:sz="0" w:space="0" w:color="auto"/>
        <w:right w:val="none" w:sz="0" w:space="0" w:color="auto"/>
      </w:divBdr>
    </w:div>
    <w:div w:id="252589278">
      <w:bodyDiv w:val="1"/>
      <w:marLeft w:val="0"/>
      <w:marRight w:val="0"/>
      <w:marTop w:val="0"/>
      <w:marBottom w:val="0"/>
      <w:divBdr>
        <w:top w:val="none" w:sz="0" w:space="0" w:color="auto"/>
        <w:left w:val="none" w:sz="0" w:space="0" w:color="auto"/>
        <w:bottom w:val="none" w:sz="0" w:space="0" w:color="auto"/>
        <w:right w:val="none" w:sz="0" w:space="0" w:color="auto"/>
      </w:divBdr>
    </w:div>
    <w:div w:id="340745158">
      <w:bodyDiv w:val="1"/>
      <w:marLeft w:val="0"/>
      <w:marRight w:val="0"/>
      <w:marTop w:val="0"/>
      <w:marBottom w:val="0"/>
      <w:divBdr>
        <w:top w:val="none" w:sz="0" w:space="0" w:color="auto"/>
        <w:left w:val="none" w:sz="0" w:space="0" w:color="auto"/>
        <w:bottom w:val="none" w:sz="0" w:space="0" w:color="auto"/>
        <w:right w:val="none" w:sz="0" w:space="0" w:color="auto"/>
      </w:divBdr>
    </w:div>
    <w:div w:id="761293362">
      <w:bodyDiv w:val="1"/>
      <w:marLeft w:val="0"/>
      <w:marRight w:val="0"/>
      <w:marTop w:val="0"/>
      <w:marBottom w:val="0"/>
      <w:divBdr>
        <w:top w:val="none" w:sz="0" w:space="0" w:color="auto"/>
        <w:left w:val="none" w:sz="0" w:space="0" w:color="auto"/>
        <w:bottom w:val="none" w:sz="0" w:space="0" w:color="auto"/>
        <w:right w:val="none" w:sz="0" w:space="0" w:color="auto"/>
      </w:divBdr>
    </w:div>
    <w:div w:id="1072965783">
      <w:bodyDiv w:val="1"/>
      <w:marLeft w:val="0"/>
      <w:marRight w:val="0"/>
      <w:marTop w:val="0"/>
      <w:marBottom w:val="0"/>
      <w:divBdr>
        <w:top w:val="none" w:sz="0" w:space="0" w:color="auto"/>
        <w:left w:val="none" w:sz="0" w:space="0" w:color="auto"/>
        <w:bottom w:val="none" w:sz="0" w:space="0" w:color="auto"/>
        <w:right w:val="none" w:sz="0" w:space="0" w:color="auto"/>
      </w:divBdr>
    </w:div>
    <w:div w:id="1165321409">
      <w:bodyDiv w:val="1"/>
      <w:marLeft w:val="0"/>
      <w:marRight w:val="0"/>
      <w:marTop w:val="0"/>
      <w:marBottom w:val="0"/>
      <w:divBdr>
        <w:top w:val="none" w:sz="0" w:space="0" w:color="auto"/>
        <w:left w:val="none" w:sz="0" w:space="0" w:color="auto"/>
        <w:bottom w:val="none" w:sz="0" w:space="0" w:color="auto"/>
        <w:right w:val="none" w:sz="0" w:space="0" w:color="auto"/>
      </w:divBdr>
    </w:div>
    <w:div w:id="1192693184">
      <w:bodyDiv w:val="1"/>
      <w:marLeft w:val="0"/>
      <w:marRight w:val="0"/>
      <w:marTop w:val="0"/>
      <w:marBottom w:val="0"/>
      <w:divBdr>
        <w:top w:val="none" w:sz="0" w:space="0" w:color="auto"/>
        <w:left w:val="none" w:sz="0" w:space="0" w:color="auto"/>
        <w:bottom w:val="none" w:sz="0" w:space="0" w:color="auto"/>
        <w:right w:val="none" w:sz="0" w:space="0" w:color="auto"/>
      </w:divBdr>
    </w:div>
    <w:div w:id="1261379975">
      <w:bodyDiv w:val="1"/>
      <w:marLeft w:val="0"/>
      <w:marRight w:val="0"/>
      <w:marTop w:val="0"/>
      <w:marBottom w:val="0"/>
      <w:divBdr>
        <w:top w:val="none" w:sz="0" w:space="0" w:color="auto"/>
        <w:left w:val="none" w:sz="0" w:space="0" w:color="auto"/>
        <w:bottom w:val="none" w:sz="0" w:space="0" w:color="auto"/>
        <w:right w:val="none" w:sz="0" w:space="0" w:color="auto"/>
      </w:divBdr>
    </w:div>
    <w:div w:id="1334606034">
      <w:bodyDiv w:val="1"/>
      <w:marLeft w:val="0"/>
      <w:marRight w:val="0"/>
      <w:marTop w:val="0"/>
      <w:marBottom w:val="0"/>
      <w:divBdr>
        <w:top w:val="none" w:sz="0" w:space="0" w:color="auto"/>
        <w:left w:val="none" w:sz="0" w:space="0" w:color="auto"/>
        <w:bottom w:val="none" w:sz="0" w:space="0" w:color="auto"/>
        <w:right w:val="none" w:sz="0" w:space="0" w:color="auto"/>
      </w:divBdr>
    </w:div>
    <w:div w:id="1692797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rrons.com" TargetMode="External"/><Relationship Id="rId13" Type="http://schemas.openxmlformats.org/officeDocument/2006/relationships/image" Target="media/image2.emf"/><Relationship Id="rId18" Type="http://schemas.openxmlformats.org/officeDocument/2006/relationships/hyperlink" Target="http://www.google.com/finance" TargetMode="External"/><Relationship Id="rId26" Type="http://schemas.openxmlformats.org/officeDocument/2006/relationships/image" Target="media/image9.emf"/><Relationship Id="rId3" Type="http://schemas.openxmlformats.org/officeDocument/2006/relationships/settings" Target="settings.xml"/><Relationship Id="rId21" Type="http://schemas.openxmlformats.org/officeDocument/2006/relationships/hyperlink" Target="http://www.barrons.com" TargetMode="External"/><Relationship Id="rId34" Type="http://schemas.openxmlformats.org/officeDocument/2006/relationships/fontTable" Target="fontTable.xml"/><Relationship Id="rId7" Type="http://schemas.openxmlformats.org/officeDocument/2006/relationships/hyperlink" Target="http://www.HighlandGlobal.com" TargetMode="External"/><Relationship Id="rId12" Type="http://schemas.openxmlformats.org/officeDocument/2006/relationships/hyperlink" Target="http://www.google.com/finance" TargetMode="External"/><Relationship Id="rId17" Type="http://schemas.openxmlformats.org/officeDocument/2006/relationships/hyperlink" Target="http://www.barrons.com" TargetMode="External"/><Relationship Id="rId25" Type="http://schemas.openxmlformats.org/officeDocument/2006/relationships/image" Target="media/image8.emf"/><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3.emf"/><Relationship Id="rId20" Type="http://schemas.openxmlformats.org/officeDocument/2006/relationships/image" Target="media/image5.emf"/><Relationship Id="rId29" Type="http://schemas.openxmlformats.org/officeDocument/2006/relationships/image" Target="media/image12.em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barrons.com" TargetMode="External"/><Relationship Id="rId24" Type="http://schemas.openxmlformats.org/officeDocument/2006/relationships/image" Target="media/image7.emf"/><Relationship Id="rId32"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www.google.com/finance" TargetMode="External"/><Relationship Id="rId23" Type="http://schemas.openxmlformats.org/officeDocument/2006/relationships/image" Target="media/image6.emf"/><Relationship Id="rId28" Type="http://schemas.openxmlformats.org/officeDocument/2006/relationships/image" Target="media/image11.emf"/><Relationship Id="rId10" Type="http://schemas.openxmlformats.org/officeDocument/2006/relationships/image" Target="media/image1.emf"/><Relationship Id="rId19" Type="http://schemas.openxmlformats.org/officeDocument/2006/relationships/image" Target="media/image4.emf"/><Relationship Id="rId31" Type="http://schemas.openxmlformats.org/officeDocument/2006/relationships/image" Target="media/image14.emf"/><Relationship Id="rId4" Type="http://schemas.openxmlformats.org/officeDocument/2006/relationships/webSettings" Target="webSettings.xml"/><Relationship Id="rId9" Type="http://schemas.openxmlformats.org/officeDocument/2006/relationships/hyperlink" Target="http://www.google.com/finance" TargetMode="External"/><Relationship Id="rId14" Type="http://schemas.openxmlformats.org/officeDocument/2006/relationships/hyperlink" Target="http://www.barrons.com" TargetMode="External"/><Relationship Id="rId22" Type="http://schemas.openxmlformats.org/officeDocument/2006/relationships/hyperlink" Target="http://www.google.com/finance" TargetMode="External"/><Relationship Id="rId27" Type="http://schemas.openxmlformats.org/officeDocument/2006/relationships/image" Target="media/image10.emf"/><Relationship Id="rId30" Type="http://schemas.openxmlformats.org/officeDocument/2006/relationships/image" Target="media/image13.emf"/><Relationship Id="rId35"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mailto:corporate@HighlandGlobal.com" TargetMode="External"/><Relationship Id="rId1" Type="http://schemas.openxmlformats.org/officeDocument/2006/relationships/hyperlink" Target="http://www.HighlandGloba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5.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9960A4-32F5-49D2-9206-59486F51D1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12</Pages>
  <Words>660</Words>
  <Characters>3762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FOR IMMEDIATE RELEASE</vt:lpstr>
    </vt:vector>
  </TitlesOfParts>
  <Company/>
  <LinksUpToDate>false</LinksUpToDate>
  <CharactersWithSpaces>4414</CharactersWithSpaces>
  <SharedDoc>false</SharedDoc>
  <HLinks>
    <vt:vector size="42" baseType="variant">
      <vt:variant>
        <vt:i4>3276908</vt:i4>
      </vt:variant>
      <vt:variant>
        <vt:i4>12</vt:i4>
      </vt:variant>
      <vt:variant>
        <vt:i4>0</vt:i4>
      </vt:variant>
      <vt:variant>
        <vt:i4>5</vt:i4>
      </vt:variant>
      <vt:variant>
        <vt:lpwstr>http://www.morningstar.com/</vt:lpwstr>
      </vt:variant>
      <vt:variant>
        <vt:lpwstr/>
      </vt:variant>
      <vt:variant>
        <vt:i4>2687084</vt:i4>
      </vt:variant>
      <vt:variant>
        <vt:i4>9</vt:i4>
      </vt:variant>
      <vt:variant>
        <vt:i4>0</vt:i4>
      </vt:variant>
      <vt:variant>
        <vt:i4>5</vt:i4>
      </vt:variant>
      <vt:variant>
        <vt:lpwstr>http://www.barrons.com/</vt:lpwstr>
      </vt:variant>
      <vt:variant>
        <vt:lpwstr/>
      </vt:variant>
      <vt:variant>
        <vt:i4>3276908</vt:i4>
      </vt:variant>
      <vt:variant>
        <vt:i4>6</vt:i4>
      </vt:variant>
      <vt:variant>
        <vt:i4>0</vt:i4>
      </vt:variant>
      <vt:variant>
        <vt:i4>5</vt:i4>
      </vt:variant>
      <vt:variant>
        <vt:lpwstr>http://www.morningstar.com/</vt:lpwstr>
      </vt:variant>
      <vt:variant>
        <vt:lpwstr/>
      </vt:variant>
      <vt:variant>
        <vt:i4>2687084</vt:i4>
      </vt:variant>
      <vt:variant>
        <vt:i4>3</vt:i4>
      </vt:variant>
      <vt:variant>
        <vt:i4>0</vt:i4>
      </vt:variant>
      <vt:variant>
        <vt:i4>5</vt:i4>
      </vt:variant>
      <vt:variant>
        <vt:lpwstr>http://www.barrons.com/</vt:lpwstr>
      </vt:variant>
      <vt:variant>
        <vt:lpwstr/>
      </vt:variant>
      <vt:variant>
        <vt:i4>2162744</vt:i4>
      </vt:variant>
      <vt:variant>
        <vt:i4>0</vt:i4>
      </vt:variant>
      <vt:variant>
        <vt:i4>0</vt:i4>
      </vt:variant>
      <vt:variant>
        <vt:i4>5</vt:i4>
      </vt:variant>
      <vt:variant>
        <vt:lpwstr>http://www.highlandglobal.com/</vt:lpwstr>
      </vt:variant>
      <vt:variant>
        <vt:lpwstr/>
      </vt:variant>
      <vt:variant>
        <vt:i4>3997718</vt:i4>
      </vt:variant>
      <vt:variant>
        <vt:i4>3</vt:i4>
      </vt:variant>
      <vt:variant>
        <vt:i4>0</vt:i4>
      </vt:variant>
      <vt:variant>
        <vt:i4>5</vt:i4>
      </vt:variant>
      <vt:variant>
        <vt:lpwstr>mailto:corporate@HighlandGlobal.com</vt:lpwstr>
      </vt:variant>
      <vt:variant>
        <vt:lpwstr/>
      </vt:variant>
      <vt:variant>
        <vt:i4>2162744</vt:i4>
      </vt:variant>
      <vt:variant>
        <vt:i4>0</vt:i4>
      </vt:variant>
      <vt:variant>
        <vt:i4>0</vt:i4>
      </vt:variant>
      <vt:variant>
        <vt:i4>5</vt:i4>
      </vt:variant>
      <vt:variant>
        <vt:lpwstr>http://www.highlandglobal.com/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IMMEDIATE RELEASE</dc:title>
  <dc:creator>Robbie Clinger</dc:creator>
  <cp:lastModifiedBy>Robert M Clinger III</cp:lastModifiedBy>
  <cp:revision>4</cp:revision>
  <cp:lastPrinted>2014-10-05T03:51:00Z</cp:lastPrinted>
  <dcterms:created xsi:type="dcterms:W3CDTF">2016-05-08T04:22:00Z</dcterms:created>
  <dcterms:modified xsi:type="dcterms:W3CDTF">2016-05-08T04:39:00Z</dcterms:modified>
</cp:coreProperties>
</file>